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C0E350B">
      <w:pPr>
        <w:pStyle w:val="style0"/>
        <w:jc w:val="center"/>
        <w:rPr>
          <w:rFonts w:eastAsia="宋体"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数字漫步2025年1-10月经营与投资汇报</w:t>
      </w:r>
    </w:p>
    <w:p w14:paraId="35BD2002">
      <w:pPr>
        <w:pStyle w:val="style0"/>
        <w:rPr>
          <w:rFonts w:hint="eastAsia"/>
        </w:rPr>
      </w:pPr>
    </w:p>
    <w:p w14:paraId="6691C0C9">
      <w:pPr>
        <w:pStyle w:val="style0"/>
        <w:rPr>
          <w:rFonts w:hint="eastAsia"/>
        </w:rPr>
      </w:pPr>
      <w:r>
        <w:rPr>
          <w:rFonts w:hint="eastAsia"/>
        </w:rPr>
        <w:t>一、整体财务表现</w:t>
      </w:r>
    </w:p>
    <w:p w14:paraId="0829F5D4">
      <w:pPr>
        <w:pStyle w:val="style0"/>
        <w:rPr>
          <w:rFonts w:hint="eastAsia"/>
        </w:rPr>
      </w:pPr>
    </w:p>
    <w:p w14:paraId="457366FC">
      <w:pPr>
        <w:pStyle w:val="style0"/>
        <w:rPr>
          <w:rFonts w:hint="eastAsia"/>
        </w:rPr>
      </w:pPr>
      <w:r>
        <w:rPr>
          <w:rFonts w:hint="eastAsia"/>
        </w:rPr>
        <w:t>截至2025年10月，数字漫步实现营业收入15.47万元，公司财务状况健康：现金储备充足（银行存款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default"/>
          <w:u w:val="single"/>
          <w:lang w:val="en-US" w:eastAsia="zh-CN"/>
        </w:rPr>
        <w:t>823,518.64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</w:rPr>
        <w:t>万元），所有者权益达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default"/>
          <w:u w:val="single"/>
          <w:lang w:val="en-US" w:eastAsia="zh-CN"/>
        </w:rPr>
        <w:t>873,766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</w:rPr>
        <w:t>万元，为后续发展提供</w:t>
      </w:r>
      <w:r>
        <w:rPr>
          <w:rFonts w:hint="eastAsia"/>
          <w:lang w:val="en-US" w:eastAsia="zh-CN"/>
        </w:rPr>
        <w:t>稳定</w:t>
      </w:r>
      <w:r>
        <w:rPr>
          <w:rFonts w:hint="eastAsia"/>
        </w:rPr>
        <w:t>基础。</w:t>
      </w:r>
      <w:bookmarkStart w:id="0" w:name="_GoBack"/>
      <w:bookmarkEnd w:id="0"/>
    </w:p>
    <w:p w14:paraId="288F9899">
      <w:pPr>
        <w:pStyle w:val="style0"/>
        <w:rPr>
          <w:rFonts w:hint="eastAsia"/>
        </w:rPr>
      </w:pPr>
    </w:p>
    <w:p w14:paraId="66A221CF">
      <w:pPr>
        <w:pStyle w:val="style0"/>
        <w:rPr>
          <w:rFonts w:hint="eastAsia"/>
        </w:rPr>
      </w:pPr>
      <w:r>
        <w:rPr>
          <w:rFonts w:hint="eastAsia"/>
        </w:rPr>
        <w:t>二、主营业务稳健发展</w:t>
      </w:r>
    </w:p>
    <w:p w14:paraId="59FBD9DD">
      <w:pPr>
        <w:pStyle w:val="style0"/>
        <w:rPr>
          <w:rFonts w:hint="eastAsia"/>
        </w:rPr>
      </w:pPr>
    </w:p>
    <w:p w14:paraId="34BE40D2">
      <w:pPr>
        <w:pStyle w:val="style0"/>
        <w:rPr>
          <w:rFonts w:hint="eastAsia"/>
        </w:rPr>
      </w:pPr>
      <w:r>
        <w:rPr>
          <w:rFonts w:hint="eastAsia"/>
        </w:rPr>
        <w:t>项目交付能力持续提升：共执行13个项目，合同总额17.47万元，已完成6个项目，7个在建项目将持续贡献收入。核心业务毛利率达21.95%，显示主营业务盈利能力良好。</w:t>
      </w:r>
    </w:p>
    <w:p w14:paraId="183A6AB1">
      <w:pPr>
        <w:pStyle w:val="style0"/>
        <w:rPr>
          <w:rFonts w:hint="eastAsia"/>
        </w:rPr>
      </w:pPr>
    </w:p>
    <w:p w14:paraId="624FBE34">
      <w:pPr>
        <w:pStyle w:val="style0"/>
        <w:rPr>
          <w:rFonts w:hint="eastAsia"/>
        </w:rPr>
      </w:pPr>
      <w:r>
        <w:rPr>
          <w:rFonts w:hint="eastAsia"/>
        </w:rPr>
        <w:t>成本结构优化空间明确：营业成本占比78.05%，其中项目外包采购（52.78%）和项目分成（17.58%）为主要支出。通过精细化管理和规模效应，利润率有望进一步提升。</w:t>
      </w:r>
    </w:p>
    <w:p w14:paraId="33C1415E">
      <w:pPr>
        <w:pStyle w:val="style0"/>
        <w:rPr>
          <w:rFonts w:hint="eastAsia"/>
        </w:rPr>
      </w:pPr>
    </w:p>
    <w:p w14:paraId="EC3EAEB0">
      <w:pPr>
        <w:spacing w:lineRule="auto" w:line="240"/>
        <w:jc w:val="both"/>
        <w:rPr/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4"/>
          <w:highlight w:val="none"/>
          <w:vertAlign w:val="baseline"/>
          <w:em w:val="none"/>
          <w:lang w:val="en-US" w:bidi="ar-SA" w:eastAsia="zh-CN"/>
        </w:rPr>
        <w:t>三、标准化服务交付体系建设</w:t>
      </w:r>
    </w:p>
    <w:p w14:paraId="E42ED2DC">
      <w:pPr>
        <w:spacing w:lineRule="auto" w:line="240"/>
        <w:jc w:val="both"/>
        <w:rPr/>
      </w:pPr>
    </w:p>
    <w:p w14:paraId="EA7FB105">
      <w:pPr>
        <w:pStyle w:val="style0"/>
        <w:rPr>
          <w:rFonts w:hint="eastAsia"/>
        </w:rPr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4"/>
          <w:highlight w:val="none"/>
          <w:vertAlign w:val="baseline"/>
          <w:em w:val="none"/>
          <w:lang w:val="en-US" w:bidi="ar-SA" w:eastAsia="zh-CN"/>
        </w:rPr>
        <w:t>通过“前期采购服务跑通流程+中期内部消化降本+后期标准化交付”的三步走策略，搭建标准化交付体系，实现独立站、广告投放等业务利润翻倍，同时沉淀可复制的运营能力。</w:t>
      </w:r>
    </w:p>
    <w:p w14:paraId="5C6AC685">
      <w:pPr>
        <w:pStyle w:val="style0"/>
        <w:rPr>
          <w:rFonts w:hint="eastAsia"/>
        </w:rPr>
      </w:pPr>
    </w:p>
    <w:p w14:paraId="0F58F3BE">
      <w:pPr>
        <w:pStyle w:val="style0"/>
        <w:rPr>
          <w:rFonts w:hint="eastAsia"/>
        </w:rPr>
      </w:pPr>
      <w:r>
        <w:rPr>
          <w:rFonts w:hint="eastAsia"/>
          <w:lang w:eastAsia="zh-CN"/>
        </w:rPr>
        <w:t>四</w:t>
      </w:r>
      <w:r>
        <w:rPr>
          <w:rFonts w:hint="eastAsia"/>
        </w:rPr>
        <w:t>、生态布局战略价值凸显</w:t>
      </w:r>
    </w:p>
    <w:p w14:paraId="1E5F979A">
      <w:pPr>
        <w:pStyle w:val="style0"/>
        <w:rPr>
          <w:rFonts w:hint="eastAsia"/>
        </w:rPr>
      </w:pPr>
    </w:p>
    <w:p w14:paraId="79CFB7EB">
      <w:pPr>
        <w:pStyle w:val="style0"/>
        <w:rPr>
          <w:rFonts w:hint="eastAsia"/>
        </w:rPr>
      </w:pPr>
      <w:r>
        <w:rPr>
          <w:rFonts w:hint="eastAsia"/>
        </w:rPr>
        <w:t>公司战略性投资布局已初见成效，构建了协同发展的生态体系：</w:t>
      </w:r>
    </w:p>
    <w:p w14:paraId="7F06A3D0">
      <w:pPr>
        <w:pStyle w:val="style0"/>
        <w:rPr>
          <w:rFonts w:hint="eastAsia"/>
        </w:rPr>
      </w:pPr>
    </w:p>
    <w:p w14:paraId="28082481">
      <w:pPr>
        <w:pStyle w:val="style0"/>
        <w:rPr>
          <w:rFonts w:eastAsia="宋体" w:hint="default"/>
          <w:lang w:val="en-US" w:eastAsia="zh-CN"/>
        </w:rPr>
      </w:pPr>
      <w:r>
        <w:rPr>
          <w:rFonts w:hint="eastAsia"/>
        </w:rPr>
        <w:t>数漫极光（数字营销）：营收2.97万元，净利润1.65万元，净利润率55.7%，展现</w:t>
      </w:r>
      <w:r>
        <w:rPr>
          <w:rFonts w:hint="eastAsia"/>
          <w:lang w:val="en-US" w:eastAsia="zh-CN"/>
        </w:rPr>
        <w:t>较强</w:t>
      </w:r>
      <w:r>
        <w:rPr>
          <w:rFonts w:hint="eastAsia"/>
        </w:rPr>
        <w:t>盈利能力。</w:t>
      </w:r>
      <w:r>
        <w:rPr>
          <w:rFonts w:hint="eastAsia"/>
          <w:lang w:val="en-US" w:eastAsia="zh-CN"/>
        </w:rPr>
        <w:t>已完成0-1，正准备逐步依托九米公司开展更多创新业务（跨境垂类ai产品：选品、智能客服、智能行业洞察、营销中台等）</w:t>
      </w:r>
    </w:p>
    <w:p w14:paraId="57022351">
      <w:pPr>
        <w:pStyle w:val="style0"/>
        <w:rPr>
          <w:rFonts w:hint="eastAsia"/>
        </w:rPr>
      </w:pPr>
    </w:p>
    <w:p w14:paraId="1B12A7C9">
      <w:pPr>
        <w:pStyle w:val="style0"/>
        <w:rPr>
          <w:rFonts w:eastAsia="宋体" w:hint="default"/>
          <w:lang w:val="en-US" w:eastAsia="zh-CN"/>
        </w:rPr>
      </w:pPr>
      <w:r>
        <w:rPr>
          <w:rFonts w:hint="eastAsia"/>
        </w:rPr>
        <w:t>摩华建科（工程服务）：营收2.46万元，净利润1.30万元，净利润率52.7%，业务模式健康。</w:t>
      </w:r>
      <w:r>
        <w:rPr>
          <w:rFonts w:hint="eastAsia"/>
          <w:lang w:val="en-US" w:eastAsia="zh-CN"/>
        </w:rPr>
        <w:t>已完成0-1的尝试，其移动卫浴、美国1100套公寓订单正在逐步落地。</w:t>
      </w:r>
    </w:p>
    <w:p w14:paraId="72DFCF1D">
      <w:pPr>
        <w:pStyle w:val="style0"/>
        <w:rPr>
          <w:rFonts w:hint="eastAsia"/>
        </w:rPr>
      </w:pPr>
    </w:p>
    <w:p w14:paraId="00D92C60">
      <w:pPr>
        <w:pStyle w:val="style0"/>
        <w:rPr>
          <w:rFonts w:eastAsia="宋体" w:hint="default"/>
          <w:lang w:val="en-US" w:eastAsia="zh-CN"/>
        </w:rPr>
      </w:pPr>
      <w:r>
        <w:rPr>
          <w:rFonts w:hint="eastAsia"/>
        </w:rPr>
        <w:t>健途生科（跨境电商）：目前处于投入期，重点布局海外市场，未来增长可期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目前在中英街落地香港生产工厂。</w:t>
      </w:r>
    </w:p>
    <w:p w14:paraId="614B32F4">
      <w:pPr>
        <w:pStyle w:val="style0"/>
        <w:rPr>
          <w:rFonts w:hint="eastAsia"/>
        </w:rPr>
      </w:pPr>
    </w:p>
    <w:p w14:paraId="7C49FCAF">
      <w:pPr>
        <w:pStyle w:val="style0"/>
        <w:rPr>
          <w:rFonts w:hint="eastAsia"/>
        </w:rPr>
      </w:pPr>
      <w:r>
        <w:rPr>
          <w:rFonts w:hint="eastAsia"/>
        </w:rPr>
        <w:t>数漫赣州：作为</w:t>
      </w:r>
      <w:r>
        <w:rPr>
          <w:rFonts w:hint="eastAsia"/>
          <w:lang w:val="en-US" w:eastAsia="zh-CN"/>
        </w:rPr>
        <w:t>消防出海及数字化服务</w:t>
      </w:r>
      <w:r>
        <w:rPr>
          <w:rFonts w:hint="eastAsia"/>
        </w:rPr>
        <w:t>区域布局的重要支点，已完成基础建设。</w:t>
      </w:r>
    </w:p>
    <w:p w14:paraId="595C6CC6">
      <w:pPr>
        <w:pStyle w:val="style0"/>
        <w:rPr>
          <w:rFonts w:hint="eastAsia"/>
        </w:rPr>
      </w:pPr>
    </w:p>
    <w:p w14:paraId="56C62556"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宠物补充剂出海：计划在11月完成公司注册，数字漫步占股20%，其中10%技术入股，10%财务投资（10万元人民币）</w:t>
      </w:r>
    </w:p>
    <w:p w14:paraId="7B20B1A3">
      <w:pPr>
        <w:pStyle w:val="style0"/>
        <w:numPr>
          <w:ilvl w:val="0"/>
          <w:numId w:val="0"/>
        </w:numPr>
        <w:rPr>
          <w:rFonts w:eastAsia="宋体" w:hint="default"/>
          <w:lang w:val="en-US" w:eastAsia="zh-CN"/>
        </w:rPr>
      </w:pPr>
    </w:p>
    <w:p w14:paraId="4292D5E8">
      <w:pPr>
        <w:pStyle w:val="style0"/>
        <w:rPr>
          <w:rFonts w:hint="eastAsia"/>
        </w:rPr>
      </w:pPr>
    </w:p>
    <w:p w14:paraId="7FCF270A">
      <w:pPr>
        <w:pStyle w:val="style0"/>
        <w:rPr>
          <w:rFonts w:hint="eastAsia"/>
        </w:rPr>
      </w:pPr>
      <w:r>
        <w:rPr>
          <w:rFonts w:hint="eastAsia"/>
          <w:lang w:eastAsia="zh-CN"/>
        </w:rPr>
        <w:t>五</w:t>
      </w:r>
      <w:r>
        <w:rPr>
          <w:rFonts w:hint="eastAsia"/>
        </w:rPr>
        <w:t>、投资组合协同效应显著</w:t>
      </w:r>
    </w:p>
    <w:p w14:paraId="5D384238">
      <w:pPr>
        <w:pStyle w:val="style0"/>
        <w:rPr>
          <w:rFonts w:hint="eastAsia"/>
        </w:rPr>
      </w:pPr>
    </w:p>
    <w:p w14:paraId="5202360D">
      <w:pPr>
        <w:pStyle w:val="style0"/>
        <w:rPr>
          <w:rFonts w:hint="eastAsia"/>
        </w:rPr>
      </w:pPr>
      <w:r>
        <w:rPr>
          <w:rFonts w:hint="eastAsia"/>
          <w:lang w:val="en-US" w:eastAsia="zh-CN"/>
        </w:rPr>
        <w:t>通过10个月在跨境行业的准备和积累，实现</w:t>
      </w:r>
      <w:r>
        <w:rPr>
          <w:rFonts w:hint="eastAsia"/>
        </w:rPr>
        <w:t>对外投资</w:t>
      </w:r>
      <w:r>
        <w:rPr>
          <w:rFonts w:hint="eastAsia"/>
          <w:lang w:val="en-US" w:eastAsia="zh-CN"/>
        </w:rPr>
        <w:t>主要为技术入股，财务压力较小的目标，各</w:t>
      </w:r>
      <w:r>
        <w:rPr>
          <w:rFonts w:hint="eastAsia"/>
        </w:rPr>
        <w:t>被投企业在数字营销、跨境电商、本地化服务等领域形成业务协同，未来可通过客户资源共享、技术能力互补实现"1+1&gt;2"的生态效应。</w:t>
      </w:r>
    </w:p>
    <w:p w14:paraId="76D31ECA">
      <w:pPr>
        <w:pStyle w:val="style0"/>
        <w:rPr>
          <w:rFonts w:hint="eastAsia"/>
        </w:rPr>
      </w:pPr>
    </w:p>
    <w:p w14:paraId="644C18F6">
      <w:pPr>
        <w:pStyle w:val="style0"/>
        <w:rPr>
          <w:rFonts w:hint="eastAsia"/>
        </w:rPr>
      </w:pPr>
      <w:r>
        <w:rPr>
          <w:rFonts w:hint="eastAsia"/>
          <w:lang w:eastAsia="zh-CN"/>
        </w:rPr>
        <w:t>六</w:t>
      </w:r>
      <w:r>
        <w:rPr>
          <w:rFonts w:hint="eastAsia"/>
        </w:rPr>
        <w:t>、未来展望与信心基础</w:t>
      </w:r>
    </w:p>
    <w:p w14:paraId="22264592">
      <w:pPr>
        <w:pStyle w:val="style0"/>
        <w:rPr>
          <w:rFonts w:hint="eastAsia"/>
        </w:rPr>
      </w:pPr>
    </w:p>
    <w:p w14:paraId="1D697838">
      <w:pPr>
        <w:pStyle w:val="style0"/>
        <w:rPr>
          <w:rFonts w:hint="eastAsia"/>
        </w:rPr>
      </w:pPr>
      <w:r>
        <w:rPr>
          <w:rFonts w:hint="eastAsia"/>
        </w:rPr>
        <w:t>短期看点：7个在建项目将陆续交付，预计带来稳定现金流；已盈利的子公司将持续贡献投资收益。</w:t>
      </w:r>
    </w:p>
    <w:p w14:paraId="6FC47D77">
      <w:pPr>
        <w:pStyle w:val="style0"/>
        <w:rPr>
          <w:rFonts w:hint="eastAsia"/>
        </w:rPr>
      </w:pPr>
    </w:p>
    <w:p w14:paraId="0D893707">
      <w:pPr>
        <w:pStyle w:val="style0"/>
        <w:rPr>
          <w:rFonts w:hint="eastAsia"/>
        </w:rPr>
      </w:pPr>
      <w:r>
        <w:rPr>
          <w:rFonts w:hint="eastAsia"/>
        </w:rPr>
        <w:t>中长期价值：生态布局完成后，各业务线将形成完整闭环，从项目交付、数字营销到跨境电商，覆盖企业服务全链条。</w:t>
      </w:r>
    </w:p>
    <w:p w14:paraId="6A6166B6">
      <w:pPr>
        <w:pStyle w:val="style0"/>
        <w:rPr>
          <w:rFonts w:hint="eastAsia"/>
        </w:rPr>
      </w:pPr>
    </w:p>
    <w:p w14:paraId="5651DE64">
      <w:pPr>
        <w:pStyle w:val="style0"/>
        <w:rPr>
          <w:rFonts w:hint="eastAsia"/>
        </w:rPr>
      </w:pPr>
      <w:r>
        <w:rPr>
          <w:rFonts w:hint="eastAsia"/>
        </w:rPr>
        <w:t>股东信心基石：充足的现金储备确保公司有足够耐心培育优质项目；现有的盈利子公司证明管理层投资眼光；多元化的业务布局有效分散风险。</w:t>
      </w:r>
    </w:p>
    <w:p w14:paraId="410C87B0">
      <w:pPr>
        <w:pStyle w:val="style0"/>
        <w:rPr>
          <w:rFonts w:hint="eastAsia"/>
        </w:rPr>
      </w:pPr>
    </w:p>
    <w:p w14:paraId="38C0F2C5">
      <w:pPr>
        <w:pStyle w:val="style0"/>
        <w:rPr/>
      </w:pPr>
      <w:r>
        <w:rPr>
          <w:rFonts w:hint="eastAsia"/>
        </w:rPr>
        <w:t>数字漫步正从单一项目交付公司，向具有生态协同效应的企业服务集团进化。当前阶段性亏损主要源于战略性投入，随着各业务线成熟和协同效应释放，公司价值将加速显现。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409020000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汉仪书宋二KW">
    <w:altName w:val="汉仪书宋二KW"/>
    <w:panose1 w:val="00020600040000010101"/>
    <w:charset w:val="86"/>
    <w:family w:val="auto"/>
    <w:pitch w:val="default"/>
    <w:sig w:usb0="A00002BF" w:usb1="18EF7CFA" w:usb2="00000016" w:usb3="00000000" w:csb0="00040000" w:csb1="00000000"/>
  </w:font>
  <w:font w:name="Helvetica Neue">
    <w:altName w:val="Helvetica Neue"/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altName w:val="汉仪中黑KW"/>
    <w:panose1 w:val="00020600040000010101"/>
    <w:charset w:val="86"/>
    <w:family w:val="auto"/>
    <w:pitch w:val="default"/>
    <w:sig w:usb0="A00002BF" w:usb1="18EF7CFA" w:usb2="00000016" w:usb3="00000000" w:csb0="00040000" w:csb1="00000000"/>
  </w:font>
  <w:font w:name="Kingsoft Sign">
    <w:altName w:val="Kingsoft Sign"/>
    <w:panose1 w:val="05050102010000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51096E6"/>
    <w:lvl w:ilvl="0" w:tplc="0409000F">
      <w:start w:val="3"/>
      <w:numFmt w:val="chineseCounting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81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1024</Words>
  <Pages>2</Pages>
  <Characters>1121</Characters>
  <Application>WPS Office</Application>
  <DocSecurity>0</DocSecurity>
  <Paragraphs>44</Paragraphs>
  <ScaleCrop>false</ScaleCrop>
  <LinksUpToDate>false</LinksUpToDate>
  <CharactersWithSpaces>1131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2025-11-11T19:11:00Z</dcterms:created>
  <dc:creator>qzuser</dc:creator>
  <lastModifiedBy>2211133C</lastModifiedBy>
  <dcterms:modified xsi:type="dcterms:W3CDTF">2025-11-11T13:32:24Z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0589d65cd14143e3b1347c038d366ab1_23</vt:lpwstr>
  </property>
</Properties>
</file>