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1E44D">
      <w:pPr>
        <w:spacing w:before="480" w:after="480" w:line="288" w:lineRule="auto"/>
        <w:ind w:left="0"/>
        <w:rPr>
          <w:rFonts w:ascii="Arial" w:hAnsi="Arial" w:eastAsia="等线" w:cs="Arial"/>
          <w:b/>
          <w:sz w:val="36"/>
          <w:szCs w:val="36"/>
        </w:rPr>
      </w:pPr>
      <w:r>
        <w:rPr>
          <w:rFonts w:ascii="Arial" w:hAnsi="Arial" w:eastAsia="等线" w:cs="Arial"/>
          <w:b/>
          <w:sz w:val="36"/>
          <w:szCs w:val="36"/>
        </w:rPr>
        <w:t>数字漫步2026年1-2月财务分析及发展规划报告</w:t>
      </w:r>
    </w:p>
    <w:p w14:paraId="7DB8B49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次汇报基于公司2026年1-2月财务及经营全量数据，结合生态板块业务进展，全面拆解核心经营成果、各业务板块发展态势、整体运营健康度，同时客观梳理阶段性痛点、给出落地性发展建议。报告立足公司“培育核心主业、布局出海生态”的战略投入期定位，客观呈现经营数据的同时，重点传递核心业务盈利潜力、生态布局价值与长期发展底气，恳请各位股东审阅。</w:t>
      </w:r>
    </w:p>
    <w:p w14:paraId="1ACDF5CF">
      <w:pPr>
        <w:spacing w:before="380" w:after="140" w:line="288" w:lineRule="auto"/>
        <w:ind w:left="0"/>
        <w:jc w:val="left"/>
        <w:outlineLvl w:val="0"/>
      </w:pPr>
      <w:bookmarkStart w:id="0" w:name="heading_0"/>
      <w:r>
        <w:rPr>
          <w:rFonts w:ascii="Arial" w:hAnsi="Arial" w:eastAsia="等线" w:cs="Arial"/>
          <w:b/>
          <w:sz w:val="36"/>
        </w:rPr>
        <w:t>一、核心财务数据概览</w:t>
      </w:r>
      <w:bookmarkEnd w:id="0"/>
    </w:p>
    <w:p w14:paraId="7AD76B2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本次统计周期为2026年1-2月，公司合并数漫同频主体经营数据，对比2025年10月首次财报15.47万元的营收基数，当前累计营收已达24.99万元，实现</w:t>
      </w:r>
      <w:r>
        <w:rPr>
          <w:rFonts w:ascii="Arial" w:hAnsi="Arial" w:eastAsia="等线" w:cs="Arial"/>
          <w:b/>
          <w:sz w:val="22"/>
        </w:rPr>
        <w:t>61.4%的大幅增长</w:t>
      </w:r>
      <w:r>
        <w:rPr>
          <w:rFonts w:ascii="Arial" w:hAnsi="Arial" w:eastAsia="等线" w:cs="Arial"/>
          <w:sz w:val="22"/>
        </w:rPr>
        <w:t>，主营业务拓展势头强劲。以下剔除复杂会计口径，提炼股东最关注的核心指标，清晰说明当前战略投入期的经营现状：</w:t>
      </w:r>
    </w:p>
    <w:p w14:paraId="07EBC09E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累计营业收入：24.99万元</w:t>
      </w:r>
      <w:r>
        <w:rPr>
          <w:rFonts w:ascii="Arial" w:hAnsi="Arial" w:eastAsia="等线" w:cs="Arial"/>
          <w:sz w:val="22"/>
        </w:rPr>
        <w:t>，营收规模稳步扩容，全部来自核心自营数字化服务与项目交付，收入根基扎实，无零散非经常性收益，业务方向高度聚焦高增长赛道。</w:t>
      </w:r>
    </w:p>
    <w:p w14:paraId="31E037D6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核心业务毛利率：47.58%</w:t>
      </w:r>
      <w:r>
        <w:rPr>
          <w:rFonts w:ascii="Arial" w:hAnsi="Arial" w:eastAsia="等线" w:cs="Arial"/>
          <w:sz w:val="22"/>
        </w:rPr>
        <w:t>，远超行业同类初创服务型企业平均水平，充分验证公司服务定价体系、成本管控能力成熟，自营业务本身具备极强的造血潜力与盈利弹性。</w:t>
      </w:r>
    </w:p>
    <w:p w14:paraId="674BA036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阶段性净利润：-15.69万元</w:t>
      </w:r>
      <w:r>
        <w:rPr>
          <w:rFonts w:ascii="Arial" w:hAnsi="Arial" w:eastAsia="等线" w:cs="Arial"/>
          <w:sz w:val="22"/>
        </w:rPr>
        <w:t>，重点说明：亏损并非核心业务经营亏损，而是公司处于</w:t>
      </w:r>
      <w:r>
        <w:rPr>
          <w:rFonts w:ascii="Arial" w:hAnsi="Arial" w:eastAsia="等线" w:cs="Arial"/>
          <w:b/>
          <w:sz w:val="22"/>
        </w:rPr>
        <w:t>“培育主业、布局生态”</w:t>
      </w:r>
      <w:r>
        <w:rPr>
          <w:rFonts w:ascii="Arial" w:hAnsi="Arial" w:eastAsia="等线" w:cs="Arial"/>
          <w:sz w:val="22"/>
        </w:rPr>
        <w:t>战略投入期的必要支出，资金集中投向核心团队搭建、海外市场拓展、生态子板块孵化、长期订单跟进，属于前期布局换长期增长的合理投入，伴随后续大额订单落地、营收规模爬坡，亏损将快速收窄并实现转正。</w:t>
      </w:r>
    </w:p>
    <w:p w14:paraId="2C54533D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现金流与负债：财务底盘绝对稳健</w:t>
      </w:r>
      <w:r>
        <w:rPr>
          <w:rFonts w:ascii="Arial" w:hAnsi="Arial" w:eastAsia="等线" w:cs="Arial"/>
          <w:sz w:val="22"/>
        </w:rPr>
        <w:t>，期末银行存款63.46万元，所有者权益69.78万元，流动负债仅5.32万元，资产负债率极低，无任何债务违约、资金链断裂风险，为新业务孵化、大额订单跟进提供了充足的安全边际。</w:t>
      </w:r>
    </w:p>
    <w:p w14:paraId="2AFB1F5F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应收账款：2.48万元</w:t>
      </w:r>
      <w:r>
        <w:rPr>
          <w:rFonts w:ascii="Arial" w:hAnsi="Arial" w:eastAsia="等线" w:cs="Arial"/>
          <w:sz w:val="22"/>
        </w:rPr>
        <w:t>，占总营收比例不足10%，项目回款效率高、客户资质优质，无大额坏账隐患，资金周转健康度处于行业上游水平。</w:t>
      </w:r>
    </w:p>
    <w:p w14:paraId="64918B52">
      <w:pPr>
        <w:spacing w:before="380" w:after="140" w:line="288" w:lineRule="auto"/>
        <w:ind w:left="0"/>
        <w:jc w:val="left"/>
        <w:outlineLvl w:val="0"/>
      </w:pPr>
      <w:bookmarkStart w:id="1" w:name="heading_1"/>
      <w:r>
        <w:rPr>
          <w:rFonts w:ascii="Arial" w:hAnsi="Arial" w:eastAsia="等线" w:cs="Arial"/>
          <w:b/>
          <w:sz w:val="36"/>
        </w:rPr>
        <w:t>二、主营业务与生态板块发展全景总结</w:t>
      </w:r>
      <w:bookmarkEnd w:id="1"/>
    </w:p>
    <w:p w14:paraId="4C06304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公司已跳出单一自营项目模式，搭建起</w:t>
      </w:r>
      <w:r>
        <w:rPr>
          <w:rFonts w:ascii="Arial" w:hAnsi="Arial" w:eastAsia="等线" w:cs="Arial"/>
          <w:b/>
          <w:sz w:val="22"/>
        </w:rPr>
        <w:t>“核心主业赋能+生态板块协同”</w:t>
      </w:r>
      <w:r>
        <w:rPr>
          <w:rFonts w:ascii="Arial" w:hAnsi="Arial" w:eastAsia="等线" w:cs="Arial"/>
          <w:sz w:val="22"/>
        </w:rPr>
        <w:t>的全域业务体系，核心主业稳扎稳打，生态子板块实现多项从0到1的突破，各板块互补导流、资源共享，长期价值路径愈发清晰，具体进展如下：</w:t>
      </w:r>
    </w:p>
    <w:p w14:paraId="1FD179A9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（一）核心主业板块：盈利底盘稳固，项目储备充足</w:t>
      </w:r>
      <w:bookmarkEnd w:id="2"/>
    </w:p>
    <w:p w14:paraId="1078947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数字漫步核心主营数字营销与技术服务，涵盖电商运营、企业平台开发、出海独立站搭建、广告代投、SEO优化等业务，是公司当前盈利核心与生态赋能底座：</w:t>
      </w:r>
    </w:p>
    <w:p w14:paraId="17C280B5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项目落地情况</w:t>
      </w:r>
      <w:r>
        <w:rPr>
          <w:rFonts w:ascii="Arial" w:hAnsi="Arial" w:eastAsia="等线" w:cs="Arial"/>
          <w:sz w:val="22"/>
        </w:rPr>
        <w:t>：本期累计交付及在执行项目19个，收入来源逐步多元化，已完结项目盈利模型全面跑通，九米圳品出海、九米门户系统等标杆项目利润率超20%，仅个别定制化项目因前期成本偏高小幅亏损，整体盈利可控。</w:t>
      </w:r>
    </w:p>
    <w:p w14:paraId="181495D6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在执行项目潜力</w:t>
      </w:r>
      <w:r>
        <w:rPr>
          <w:rFonts w:ascii="Arial" w:hAnsi="Arial" w:eastAsia="等线" w:cs="Arial"/>
          <w:sz w:val="22"/>
        </w:rPr>
        <w:t>：在营项目多为轻资产、高毛利的出海服务类项目，部分项目利润率高达80%-100%，待确认收入储备丰厚，是后续营收增长与利润兑现的核心动力。</w:t>
      </w:r>
    </w:p>
    <w:p w14:paraId="5CBACF2C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成本管控优势</w:t>
      </w:r>
      <w:r>
        <w:rPr>
          <w:rFonts w:ascii="Arial" w:hAnsi="Arial" w:eastAsia="等线" w:cs="Arial"/>
          <w:sz w:val="22"/>
        </w:rPr>
        <w:t>：营业成本以项目外包、分成等可变成本为主，无大额固定资产折旧压力，可随营收规模灵活调整，成本弹性空间极大。</w:t>
      </w:r>
    </w:p>
    <w:p w14:paraId="5EFEDFFB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（二）数漫极光（技术产品与海外营销）：技术+海外双突破</w:t>
      </w:r>
      <w:bookmarkEnd w:id="3"/>
    </w:p>
    <w:p w14:paraId="06918E3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作为生态核心技术板块，数漫极光已跳出基础数字营销业务，开启技术创新与海外布局双重升级：一方面主导研发AI剪辑工具，已对接火山引擎及多家职业培训机构，完成早期技术验证与客户孵化；另一方面积极推进主体变更为香港主体，引入德国资源方Deep Welle，链接海外融资渠道，同步开拓TikTok达人营销新增长曲线，为公司打开海外增量市场。</w:t>
      </w:r>
    </w:p>
    <w:p w14:paraId="71254F57">
      <w:pPr>
        <w:spacing w:before="320" w:after="120" w:line="288" w:lineRule="auto"/>
        <w:ind w:left="0"/>
        <w:jc w:val="left"/>
        <w:outlineLvl w:val="1"/>
      </w:pPr>
      <w:bookmarkStart w:id="4" w:name="heading_4"/>
      <w:r>
        <w:rPr>
          <w:rFonts w:ascii="Arial" w:hAnsi="Arial" w:eastAsia="等线" w:cs="Arial"/>
          <w:b/>
          <w:sz w:val="32"/>
        </w:rPr>
        <w:t>（三）摩华建科（工程制造出海）：大额订单跟进，长期价值可期</w:t>
      </w:r>
      <w:bookmarkEnd w:id="4"/>
    </w:p>
    <w:p w14:paraId="6778550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该板块是公司实业出海的核心布局，业务特点为订单体量大、决策周期长，当前已取得实质性进展：美国1100套公寓订单进入落地阶段，新西兰、马来西亚项目进入方案报价期，已与核心渠道商签订深度合作协议，锁定多个百万级潜在项目；虽沙特500套订单受地区局势影响预计流失，但属于国际业务客观风险，整体订单跟进节奏稳健，后续落地将为公司带来大额稳定收入。</w:t>
      </w:r>
    </w:p>
    <w:p w14:paraId="3EE996F9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（四）健途生科（跨境电商）：战略聚焦调整，赛道精准切换</w:t>
      </w:r>
      <w:bookmarkEnd w:id="5"/>
    </w:p>
    <w:p w14:paraId="4B041C0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及时优化业务方向，停止国内社媒电商低效投入，全面聚焦亚马逊北美店铺运营，精准切入成熟跨境电商赛道；公司以10%财务投资+资源对接的轻模式参与，降低前期投入风险，后续店铺步入正轨即可实现投资收益兑现。</w:t>
      </w:r>
    </w:p>
    <w:p w14:paraId="277509D5">
      <w:pPr>
        <w:spacing w:before="320" w:after="120" w:line="288" w:lineRule="auto"/>
        <w:ind w:left="0"/>
        <w:jc w:val="left"/>
        <w:outlineLvl w:val="1"/>
      </w:pPr>
      <w:bookmarkStart w:id="6" w:name="heading_6"/>
      <w:r>
        <w:rPr>
          <w:rFonts w:ascii="Arial" w:hAnsi="Arial" w:eastAsia="等线" w:cs="Arial"/>
          <w:b/>
          <w:sz w:val="32"/>
        </w:rPr>
        <w:t>（五）数漫消防（专业品类出海）：实现从0到1关键突破</w:t>
      </w:r>
      <w:bookmarkEnd w:id="6"/>
    </w:p>
    <w:p w14:paraId="079C94D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该板块完成首阶段突破，已协助合作方输出首版外贸物料，借助九米产业带资源对接马来西亚政府工程局，对方明确采购消防全套解决方案，节后将启动深度对接，有望快速落地大额政企订单，开辟专业品类出海新赛道。</w:t>
      </w:r>
    </w:p>
    <w:p w14:paraId="52663BD9">
      <w:pPr>
        <w:spacing w:before="320" w:after="120" w:line="288" w:lineRule="auto"/>
        <w:ind w:left="0"/>
        <w:jc w:val="left"/>
        <w:outlineLvl w:val="1"/>
      </w:pPr>
      <w:bookmarkStart w:id="7" w:name="heading_7"/>
      <w:r>
        <w:rPr>
          <w:rFonts w:ascii="Arial" w:hAnsi="Arial" w:eastAsia="等线" w:cs="Arial"/>
          <w:b/>
          <w:sz w:val="32"/>
        </w:rPr>
        <w:t>（六）其他生态布局：完善产业链，拓宽增长边界</w:t>
      </w:r>
      <w:bookmarkEnd w:id="7"/>
    </w:p>
    <w:p w14:paraId="54E1072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同步推进多项生态配套布局，与哈奇米宠物合资搭建Shopify独立站，切入宠物用品跨境赛道；新成立包装科技公司，完善供应链支持能力；联合九米跨境落地赣州城市合伙人，拓展本地化资源，全方位夯实生态协同网络，形成“技术赋能-供应链支持-海外变现”的闭环。</w:t>
      </w:r>
    </w:p>
    <w:p w14:paraId="7D9B9E98">
      <w:pPr>
        <w:spacing w:before="380" w:after="140" w:line="288" w:lineRule="auto"/>
        <w:ind w:left="0"/>
        <w:jc w:val="left"/>
        <w:outlineLvl w:val="0"/>
      </w:pPr>
      <w:bookmarkStart w:id="8" w:name="heading_8"/>
      <w:r>
        <w:rPr>
          <w:rFonts w:ascii="Arial" w:hAnsi="Arial" w:eastAsia="等线" w:cs="Arial"/>
          <w:b/>
          <w:sz w:val="36"/>
        </w:rPr>
        <w:t>三、公司运营健康度综合评估</w:t>
      </w:r>
      <w:bookmarkEnd w:id="8"/>
    </w:p>
    <w:tbl>
      <w:tblPr>
        <w:tblStyle w:val="2"/>
        <w:tblW w:w="0" w:type="auto"/>
        <w:tblInd w:w="0" w:type="dxa"/>
        <w:tblBorders>
          <w:top w:val="single" w:color="FED4A4" w:sz="0" w:space="0"/>
          <w:left w:val="single" w:color="FED4A4" w:sz="0" w:space="0"/>
          <w:bottom w:val="single" w:color="FED4A4" w:sz="0" w:space="0"/>
          <w:right w:val="single" w:color="FED4A4" w:sz="0" w:space="0"/>
          <w:insideH w:val="single" w:color="FED4A4" w:sz="0" w:space="0"/>
          <w:insideV w:val="single" w:color="FED4A4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72941ABF">
        <w:tc>
          <w:tcPr>
            <w:tcW w:w="8280" w:type="dxa"/>
            <w:shd w:val="clear" w:color="auto" w:fill="FFF5EB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B377D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核心结论：公司处于“前期战略布局换长期增长”的黄金蓄力阶段，整体运营基本面极度健康，短期阶段性亏损属于扩张期合理投入，完全不影响长期盈利前景，后续具备营收翻倍、快速扭亏为盈的核心潜力</w:t>
            </w:r>
          </w:p>
        </w:tc>
      </w:tr>
    </w:tbl>
    <w:p w14:paraId="236761A8">
      <w:pPr>
        <w:spacing w:before="300" w:after="120" w:line="288" w:lineRule="auto"/>
        <w:ind w:left="0"/>
        <w:jc w:val="left"/>
        <w:outlineLvl w:val="2"/>
      </w:pPr>
      <w:bookmarkStart w:id="9" w:name="heading_9"/>
      <w:r>
        <w:rPr>
          <w:rFonts w:ascii="Arial" w:hAnsi="Arial" w:eastAsia="等线" w:cs="Arial"/>
          <w:b/>
          <w:sz w:val="30"/>
        </w:rPr>
        <w:t>1. 财务健康度：底盘稳健，零资金风险</w:t>
      </w:r>
      <w:bookmarkEnd w:id="9"/>
    </w:p>
    <w:p w14:paraId="3EE719C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公司现金流充沛，期末银行存款远超流动负债，无任何债务违约、资金链断裂风险；应收账款占总营收比例不足10%，回款效率高、无大额坏账隐患；资产总计75.10万元，所有者权益69.78万元，股东权益保障充足，资产负债率极低，财务结构在初创服务型企业中处于顶尖水平，抗风险能力极强。</w:t>
      </w:r>
    </w:p>
    <w:p w14:paraId="6546DA1D">
      <w:pPr>
        <w:spacing w:before="300" w:after="120" w:line="288" w:lineRule="auto"/>
        <w:ind w:left="0"/>
        <w:jc w:val="left"/>
        <w:outlineLvl w:val="2"/>
      </w:pPr>
      <w:bookmarkStart w:id="10" w:name="heading_10"/>
      <w:r>
        <w:rPr>
          <w:rFonts w:ascii="Arial" w:hAnsi="Arial" w:eastAsia="等线" w:cs="Arial"/>
          <w:b/>
          <w:sz w:val="30"/>
        </w:rPr>
        <w:t>2. 业务健康度：赛道优质，增长确定性强</w:t>
      </w:r>
      <w:bookmarkEnd w:id="10"/>
    </w:p>
    <w:p w14:paraId="7C89151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聚焦跨境出海、企业数字化服务两大高景气赛道，贴合当下市场发展趋势；核心主业毛利率稳居47.58%，盈利模型成熟可复制；在手项目储备充足，叠加摩华建科、数漫消防等大额海外意向订单，后续营收增长具备强确定性，营收规模爬坡后，固定成本摊薄即可快速实现净利润转正。</w:t>
      </w:r>
    </w:p>
    <w:p w14:paraId="0F2F5B84">
      <w:pPr>
        <w:spacing w:before="300" w:after="120" w:line="288" w:lineRule="auto"/>
        <w:ind w:left="0"/>
        <w:jc w:val="left"/>
        <w:outlineLvl w:val="2"/>
      </w:pPr>
      <w:bookmarkStart w:id="11" w:name="heading_11"/>
      <w:r>
        <w:rPr>
          <w:rFonts w:ascii="Arial" w:hAnsi="Arial" w:eastAsia="等线" w:cs="Arial"/>
          <w:b/>
          <w:sz w:val="30"/>
        </w:rPr>
        <w:t>3. 管理与生态健康度：布局精准，协同效应初显</w:t>
      </w:r>
      <w:bookmarkEnd w:id="11"/>
    </w:p>
    <w:p w14:paraId="6F7F7F6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营业费用以核心团队搭建的人力成本为主，无铺张浪费，整体管理精细化，成本具备持续优化空间；生态板块布局围绕主业协同展开，无盲目投资，数漫极光、健途生科等孵化板块逐步进入业务落地期，“核心主业赋能+生态板块变现”的协同闭环初步成型，长期壁垒持续筑牢。</w:t>
      </w:r>
    </w:p>
    <w:tbl>
      <w:tblPr>
        <w:tblStyle w:val="2"/>
        <w:tblW w:w="0" w:type="auto"/>
        <w:tblInd w:w="0" w:type="dxa"/>
        <w:tblBorders>
          <w:top w:val="single" w:color="FED4A4" w:sz="0" w:space="0"/>
          <w:left w:val="single" w:color="FED4A4" w:sz="0" w:space="0"/>
          <w:bottom w:val="single" w:color="FED4A4" w:sz="0" w:space="0"/>
          <w:right w:val="single" w:color="FED4A4" w:sz="0" w:space="0"/>
          <w:insideH w:val="single" w:color="FED4A4" w:sz="0" w:space="0"/>
          <w:insideV w:val="single" w:color="FED4A4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3E3561DB">
        <w:tc>
          <w:tcPr>
            <w:tcW w:w="8280" w:type="dxa"/>
            <w:shd w:val="clear" w:color="auto" w:fill="FFF5EB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E0C82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核心结论：公司处于“前期布局换长期增长”的黄金阶段，运营基本面极度健康，短期阶段性亏损不影响长期盈利前景，具备持续发展与盈利翻倍的潜力</w:t>
            </w:r>
          </w:p>
        </w:tc>
      </w:tr>
    </w:tbl>
    <w:p w14:paraId="074C74EA">
      <w:pPr>
        <w:spacing w:before="300" w:after="120" w:line="288" w:lineRule="auto"/>
        <w:ind w:left="0"/>
        <w:jc w:val="left"/>
        <w:outlineLvl w:val="2"/>
      </w:pPr>
      <w:bookmarkStart w:id="12" w:name="heading_12"/>
      <w:r>
        <w:rPr>
          <w:rFonts w:ascii="Arial" w:hAnsi="Arial" w:eastAsia="等线" w:cs="Arial"/>
          <w:b/>
          <w:sz w:val="30"/>
        </w:rPr>
        <w:t>1. 财务健康度：无风险，底盘稳健</w:t>
      </w:r>
      <w:bookmarkEnd w:id="12"/>
    </w:p>
    <w:p w14:paraId="3B6BB2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公司现金流充沛，银行存款远超流动负债，无任何债务违约、资金短缺风险；应收账款占比极低，回款效率高；资产总计75.10万元，所有者权益69.78万元，股东权益保障充足，财务结构在初创型企业中属于顶尖水平。</w:t>
      </w:r>
    </w:p>
    <w:p w14:paraId="26D9E61E">
      <w:pPr>
        <w:spacing w:before="300" w:after="120" w:line="288" w:lineRule="auto"/>
        <w:ind w:left="0"/>
        <w:jc w:val="left"/>
        <w:outlineLvl w:val="2"/>
      </w:pPr>
      <w:bookmarkStart w:id="13" w:name="heading_13"/>
      <w:r>
        <w:rPr>
          <w:rFonts w:ascii="Arial" w:hAnsi="Arial" w:eastAsia="等线" w:cs="Arial"/>
          <w:b/>
          <w:sz w:val="30"/>
        </w:rPr>
        <w:t>2. 业务健康度：赛道优质，盈利模型清晰</w:t>
      </w:r>
      <w:bookmarkEnd w:id="13"/>
    </w:p>
    <w:p w14:paraId="536966B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聚焦跨境出海、企业数字化服务两大高增长赛道，符合当前市场发展趋势；核心业务毛利率接近50%，只要营收规模提升，固定成本摊薄后，净利润会快速转正；项目储备充足，客户资源优质，无业务断档风险，后续营收增长具备确定性。</w:t>
      </w:r>
    </w:p>
    <w:p w14:paraId="05B97F3A">
      <w:pPr>
        <w:spacing w:before="300" w:after="120" w:line="288" w:lineRule="auto"/>
        <w:ind w:left="0"/>
        <w:jc w:val="left"/>
        <w:outlineLvl w:val="2"/>
      </w:pPr>
      <w:bookmarkStart w:id="14" w:name="heading_14"/>
      <w:r>
        <w:rPr>
          <w:rFonts w:ascii="Arial" w:hAnsi="Arial" w:eastAsia="等线" w:cs="Arial"/>
          <w:b/>
          <w:sz w:val="30"/>
        </w:rPr>
        <w:t>3. 管理健康度：成本可控，方向聚焦</w:t>
      </w:r>
      <w:bookmarkEnd w:id="14"/>
    </w:p>
    <w:p w14:paraId="7B5B655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营业费用中职工薪酬占比66.98%，属于核心团队搭建的必要投入，团队成型后人力成本占比会逐步下降；其余商务、团建等费用占比偏低，无铺张浪费情况，公司整体管理精细化，成本管控具备优化空间。</w:t>
      </w:r>
    </w:p>
    <w:p w14:paraId="2960E242">
      <w:pPr>
        <w:spacing w:before="380" w:after="140" w:line="288" w:lineRule="auto"/>
        <w:ind w:left="0"/>
        <w:jc w:val="left"/>
        <w:outlineLvl w:val="0"/>
      </w:pPr>
      <w:bookmarkStart w:id="15" w:name="heading_15"/>
      <w:r>
        <w:rPr>
          <w:rFonts w:ascii="Arial" w:hAnsi="Arial" w:eastAsia="等线" w:cs="Arial"/>
          <w:b/>
          <w:sz w:val="36"/>
        </w:rPr>
        <w:t>四、当前经营存在的核心问题</w:t>
      </w:r>
      <w:bookmarkEnd w:id="15"/>
    </w:p>
    <w:p w14:paraId="1CBEC09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结合财报数据，公司当前经营的核心问题均为阶段性、可快速优化的问题，无根本性经营缺陷：</w:t>
      </w:r>
    </w:p>
    <w:p w14:paraId="586327D5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前期固定成本偏高</w:t>
      </w:r>
      <w:r>
        <w:rPr>
          <w:rFonts w:ascii="Arial" w:hAnsi="Arial" w:eastAsia="等线" w:cs="Arial"/>
          <w:sz w:val="22"/>
        </w:rPr>
        <w:t>：人力、商务拓展等固定费用占营收比例过高，导致阶段性净利润为负，核心原因是营收规模尚未覆盖固定成本。</w:t>
      </w:r>
    </w:p>
    <w:p w14:paraId="0FA78708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项目利润率分化较大</w:t>
      </w:r>
      <w:r>
        <w:rPr>
          <w:rFonts w:ascii="Arial" w:hAnsi="Arial" w:eastAsia="等线" w:cs="Arial"/>
          <w:sz w:val="22"/>
        </w:rPr>
        <w:t>：部分定制化开发项目成本偏高、利润率偏低，拉低整体项目盈利水平，项目筛选与定价需进一步优化。</w:t>
      </w:r>
    </w:p>
    <w:p w14:paraId="5E835AA1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孵化项目暂未贡献收益</w:t>
      </w:r>
      <w:r>
        <w:rPr>
          <w:rFonts w:ascii="Arial" w:hAnsi="Arial" w:eastAsia="等线" w:cs="Arial"/>
          <w:sz w:val="22"/>
        </w:rPr>
        <w:t>：部分对外投资与子公司处于孵化期，暂无正向收益，反而产生少量前期费用，需要一定孵化周期。</w:t>
      </w:r>
    </w:p>
    <w:p w14:paraId="4EA45EEA">
      <w:pPr>
        <w:spacing w:before="380" w:after="140" w:line="288" w:lineRule="auto"/>
        <w:ind w:left="0"/>
        <w:jc w:val="left"/>
        <w:outlineLvl w:val="0"/>
      </w:pPr>
      <w:bookmarkStart w:id="16" w:name="heading_16"/>
      <w:r>
        <w:rPr>
          <w:rFonts w:ascii="Arial" w:hAnsi="Arial" w:eastAsia="等线" w:cs="Arial"/>
          <w:b/>
          <w:sz w:val="36"/>
        </w:rPr>
        <w:t>五、未来3-6月核心发展规划</w:t>
      </w:r>
      <w:bookmarkEnd w:id="16"/>
    </w:p>
    <w:p w14:paraId="7624582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结合当前财务现状与业务布局，公司将坚持“夯实主业、释放生态、严控成本、加速变现”的核心思路，聚焦短期订单落地与长期生态协同，确保</w:t>
      </w:r>
      <w:r>
        <w:rPr>
          <w:rFonts w:ascii="Arial" w:hAnsi="Arial" w:eastAsia="等线" w:cs="Arial"/>
          <w:b/>
          <w:sz w:val="22"/>
        </w:rPr>
        <w:t>半年内实现净利润转正，全年营收利润双增长</w:t>
      </w:r>
      <w:r>
        <w:rPr>
          <w:rFonts w:ascii="Arial" w:hAnsi="Arial" w:eastAsia="等线" w:cs="Arial"/>
          <w:sz w:val="22"/>
        </w:rPr>
        <w:t>，具体规划分为短期重点动作与长期价值布局：</w:t>
      </w:r>
    </w:p>
    <w:p w14:paraId="284074FD">
      <w:pPr>
        <w:spacing w:before="320" w:after="120" w:line="288" w:lineRule="auto"/>
        <w:ind w:left="0"/>
        <w:jc w:val="left"/>
        <w:outlineLvl w:val="1"/>
      </w:pPr>
      <w:bookmarkStart w:id="17" w:name="heading_17"/>
      <w:r>
        <w:rPr>
          <w:rFonts w:ascii="Arial" w:hAnsi="Arial" w:eastAsia="等线" w:cs="Arial"/>
          <w:b/>
          <w:sz w:val="32"/>
        </w:rPr>
        <w:t>（一）短期核心动作：抓落地、保回款、快变现</w:t>
      </w:r>
      <w:bookmarkEnd w:id="17"/>
    </w:p>
    <w:p w14:paraId="67191BEE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攻坚大额订单，做大营收规模</w:t>
      </w:r>
      <w:r>
        <w:rPr>
          <w:rFonts w:ascii="Arial" w:hAnsi="Arial" w:eastAsia="等线" w:cs="Arial"/>
          <w:sz w:val="22"/>
        </w:rPr>
        <w:t>：全力跟进摩华建科美国、新西兰等海外大额订单，推动数漫消防与马来西亚政企方对接落地，将意向订单转化为实际营收；核心主业聚焦高毛利出海服务项目，暂停低毛利定制化项目，快速摊薄前期固定成本。</w:t>
      </w:r>
    </w:p>
    <w:p w14:paraId="7E38F48B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保障生态子板块平稳运营</w:t>
      </w:r>
      <w:r>
        <w:rPr>
          <w:rFonts w:ascii="Arial" w:hAnsi="Arial" w:eastAsia="等线" w:cs="Arial"/>
          <w:sz w:val="22"/>
        </w:rPr>
        <w:t>：全力支持健途生科亚马逊北美店铺启动与初期运营，跟进数漫极光香港主体变更与海外资源对接，推动AI剪辑工具商业化落地，让孵化板块尽快产生营收。</w:t>
      </w:r>
    </w:p>
    <w:p w14:paraId="758E178F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精细化成本管控，压缩非必要支出</w:t>
      </w:r>
      <w:r>
        <w:rPr>
          <w:rFonts w:ascii="Arial" w:hAnsi="Arial" w:eastAsia="等线" w:cs="Arial"/>
          <w:sz w:val="22"/>
        </w:rPr>
        <w:t>：优化人力成本结构，杜绝冗余人力投入；严控商务差旅、团建等非核心费用，资金优先投向高营收、高毛利项目；重新谈判外包合作价格，进一步压缩可变成本，巩固毛利率优势。</w:t>
      </w:r>
    </w:p>
    <w:p w14:paraId="5BA0BA73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强化回款管理，提升资金效率</w:t>
      </w:r>
      <w:r>
        <w:rPr>
          <w:rFonts w:ascii="Arial" w:hAnsi="Arial" w:eastAsia="等线" w:cs="Arial"/>
          <w:sz w:val="22"/>
        </w:rPr>
        <w:t>：建立专人回款跟踪机制，确保应收账款全额按时收回；利用充沛现金流，优先对接优质大客户与大额订单，避免资金闲置，最大化资金效益。</w:t>
      </w:r>
    </w:p>
    <w:p w14:paraId="492BC980">
      <w:pPr>
        <w:spacing w:before="320" w:after="120" w:line="288" w:lineRule="auto"/>
        <w:ind w:left="0"/>
        <w:jc w:val="left"/>
        <w:outlineLvl w:val="1"/>
      </w:pPr>
      <w:bookmarkStart w:id="18" w:name="heading_18"/>
      <w:r>
        <w:rPr>
          <w:rFonts w:ascii="Arial" w:hAnsi="Arial" w:eastAsia="等线" w:cs="Arial"/>
          <w:b/>
          <w:sz w:val="32"/>
        </w:rPr>
        <w:t>（二）长期价值布局：强协同、扩生态、筑壁垒</w:t>
      </w:r>
      <w:bookmarkEnd w:id="18"/>
    </w:p>
    <w:p w14:paraId="1D7EA21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坚定推进“数字营销（赋能）+实业出海（变现）”的生态协同模型，依托香港平台链接国际资本与海外资源，依托国内产业带夯实供应链优势，让核心主业为生态子板块提供技术、营销赋能，生态子板块反哺核心主业扩大业务规模，形成相互导流、互利共赢的闭环；同时优化对外投资结构，重点扶持盈利项目，加速孵化项目变现，适时调整低效布局，集中资源打造核心增长极。</w:t>
      </w:r>
    </w:p>
    <w:p w14:paraId="20F729DE">
      <w:pPr>
        <w:spacing w:before="380" w:after="140" w:line="288" w:lineRule="auto"/>
        <w:ind w:left="0"/>
        <w:jc w:val="left"/>
        <w:outlineLvl w:val="0"/>
        <w:rPr>
          <w:rFonts w:hint="eastAsia" w:eastAsia="等线"/>
          <w:lang w:eastAsia="zh-CN"/>
        </w:rPr>
      </w:pPr>
      <w:bookmarkStart w:id="19" w:name="heading_19"/>
      <w:r>
        <w:rPr>
          <w:rFonts w:ascii="Arial" w:hAnsi="Arial" w:eastAsia="等线" w:cs="Arial"/>
          <w:b/>
          <w:sz w:val="36"/>
        </w:rPr>
        <w:t>六、总结</w:t>
      </w:r>
      <w:bookmarkEnd w:id="19"/>
      <w:bookmarkStart w:id="20" w:name="_GoBack"/>
      <w:bookmarkEnd w:id="20"/>
    </w:p>
    <w:p w14:paraId="65D91AE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尊敬的各位股东，2026年1-2月是公司</w:t>
      </w:r>
      <w:r>
        <w:rPr>
          <w:rFonts w:ascii="Arial" w:hAnsi="Arial" w:eastAsia="等线" w:cs="Arial"/>
          <w:b/>
          <w:sz w:val="22"/>
        </w:rPr>
        <w:t>营收爬坡、生态布局、蓄力爆发</w:t>
      </w:r>
      <w:r>
        <w:rPr>
          <w:rFonts w:ascii="Arial" w:hAnsi="Arial" w:eastAsia="等线" w:cs="Arial"/>
          <w:sz w:val="22"/>
        </w:rPr>
        <w:t>的关键阶段，短期阶段性净利润亏损，是战略投入期的正常现象，绝非经营不善，反而印证了公司在优质赛道的提前布局与长远眼光。</w:t>
      </w:r>
    </w:p>
    <w:p w14:paraId="5D84C4B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当前公司核心优势清晰可见：营收实现61.4%的高速增长，核心主业毛利率稳居高位，现金流与资产结构极度稳健，生态板块实现多项从0到1的突破，大额海外订单、专业品类出海等新增长极逐步成型，“技术赋能+实业出海”的协同壁垒正在筑牢。</w:t>
      </w:r>
    </w:p>
    <w:p w14:paraId="3876098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后续管理层将坚定执行既定战略，务实推进订单落地、成本管控与生态变现，全力加快盈利拐点到来。我们坚信，伴随各生态板块逐步成熟、大额订单集中兑现，公司将快速实现扭亏为盈，持续释放长期价值，为各位股东创造稳健可观的投资回报！感谢各位股东的信任与支持！</w:t>
      </w:r>
    </w:p>
    <w:p w14:paraId="65D712C3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E9A0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3A4F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6AD141"/>
    <w:multiLevelType w:val="singleLevel"/>
    <w:tmpl w:val="8C6AD141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">
    <w:nsid w:val="8FB527F9"/>
    <w:multiLevelType w:val="singleLevel"/>
    <w:tmpl w:val="8FB527F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8FE3CF30"/>
    <w:multiLevelType w:val="singleLevel"/>
    <w:tmpl w:val="8FE3CF30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3">
    <w:nsid w:val="9E7D1492"/>
    <w:multiLevelType w:val="singleLevel"/>
    <w:tmpl w:val="9E7D149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9FFC97E2"/>
    <w:multiLevelType w:val="singleLevel"/>
    <w:tmpl w:val="9FFC97E2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5">
    <w:nsid w:val="B77A50BF"/>
    <w:multiLevelType w:val="singleLevel"/>
    <w:tmpl w:val="B77A50B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">
    <w:nsid w:val="BFFD0434"/>
    <w:multiLevelType w:val="singleLevel"/>
    <w:tmpl w:val="BFFD043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">
    <w:nsid w:val="C0AF6634"/>
    <w:multiLevelType w:val="singleLevel"/>
    <w:tmpl w:val="C0AF663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8">
    <w:nsid w:val="C8F80927"/>
    <w:multiLevelType w:val="singleLevel"/>
    <w:tmpl w:val="C8F80927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9">
    <w:nsid w:val="EAFA585C"/>
    <w:multiLevelType w:val="singleLevel"/>
    <w:tmpl w:val="EAFA585C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0">
    <w:nsid w:val="F5FA0624"/>
    <w:multiLevelType w:val="singleLevel"/>
    <w:tmpl w:val="F5FA0624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1">
    <w:nsid w:val="F77FC5EE"/>
    <w:multiLevelType w:val="singleLevel"/>
    <w:tmpl w:val="F77FC5E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2">
    <w:nsid w:val="0DFBF5C5"/>
    <w:multiLevelType w:val="singleLevel"/>
    <w:tmpl w:val="0DFBF5C5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3">
    <w:nsid w:val="6DE508DD"/>
    <w:multiLevelType w:val="singleLevel"/>
    <w:tmpl w:val="6DE508D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4">
    <w:nsid w:val="7FE4F0D8"/>
    <w:multiLevelType w:val="singleLevel"/>
    <w:tmpl w:val="7FE4F0D8"/>
    <w:lvl w:ilvl="0" w:tentative="0">
      <w:start w:val="3"/>
      <w:numFmt w:val="decimal"/>
      <w:lvlText w:val="%1."/>
      <w:lvlJc w:val="left"/>
      <w:rPr>
        <w:color w:val="3370FF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1"/>
  </w:num>
  <w:num w:numId="5">
    <w:abstractNumId w:val="5"/>
  </w:num>
  <w:num w:numId="6">
    <w:abstractNumId w:val="10"/>
  </w:num>
  <w:num w:numId="7">
    <w:abstractNumId w:val="4"/>
  </w:num>
  <w:num w:numId="8">
    <w:abstractNumId w:val="2"/>
  </w:num>
  <w:num w:numId="9">
    <w:abstractNumId w:val="11"/>
  </w:num>
  <w:num w:numId="10">
    <w:abstractNumId w:val="7"/>
  </w:num>
  <w:num w:numId="11">
    <w:abstractNumId w:val="14"/>
  </w:num>
  <w:num w:numId="12">
    <w:abstractNumId w:val="12"/>
  </w:num>
  <w:num w:numId="13">
    <w:abstractNumId w:val="8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CF16B6"/>
    <w:rsid w:val="6F7FEE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TotalTime>5</TotalTime>
  <ScaleCrop>false</ScaleCrop>
  <LinksUpToDate>false</LinksUpToDate>
  <Application>WPS Office_6.9.0.8865_F1E327BC-269C-435d-A152-05C5408002CA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2026-03-17T23:31:00Z</dcterms:created>
  <dc:creator>Apache POI</dc:creator>
  <cp:lastModifiedBy>qzuser</cp:lastModifiedBy>
  <dcterms:modified xsi:type="dcterms:W3CDTF">2026-03-18T00:01:39Z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DB7BC4A5AAFE3E97E37AB9690F5B4F9D_43</vt:lpwstr>
  </property>
</Properties>
</file>