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before="1800"/>
      </w:pPr>
    </w:p>
    <w:p>
      <w:pPr>
        <w:pBdr>
          <w:top w:val="single" w:color="1A3C6D" w:sz="12" w:space="8"/>
          <w:bottom w:val="single" w:color="1A3C6D" w:sz="12" w:space="8"/>
        </w:pBdr>
        <w:shd w:fill="F0F4FA" w:val="clear"/>
        <w:spacing w:after="40" w:before="100"/>
        <w:jc w:val="center"/>
      </w:pPr>
    </w:p>
    <w:p>
      <w:pPr>
        <w:spacing w:after="40" w:before="200"/>
        <w:jc w:val="center"/>
      </w:pPr>
      <w:r>
        <w:rPr>
          <w:rFonts w:ascii="Arial" w:cs="Arial" w:eastAsia="Arial" w:hAnsi="Arial"/>
          <w:b/>
          <w:bCs/>
          <w:color w:val="1A3C6D"/>
          <w:sz w:val="60"/>
          <w:szCs w:val="60"/>
        </w:rPr>
        <w:t xml:space="preserve">数字漫步</w:t>
      </w:r>
    </w:p>
    <w:p>
      <w:pPr>
        <w:spacing w:after="20"/>
        <w:jc w:val="center"/>
      </w:pPr>
      <w:r>
        <w:rPr>
          <w:rFonts w:ascii="Arial" w:cs="Arial" w:eastAsia="Arial" w:hAnsi="Arial"/>
          <w:b/>
          <w:bCs/>
          <w:i/>
          <w:iCs/>
          <w:color w:val="2E75B6"/>
          <w:sz w:val="28"/>
          <w:szCs w:val="28"/>
        </w:rPr>
        <w:t xml:space="preserve">DIGITWALK</w:t>
      </w:r>
    </w:p>
    <w:p>
      <w:pPr>
        <w:spacing w:after="200"/>
        <w:jc w:val="center"/>
      </w:pPr>
      <w:r>
        <w:rPr>
          <w:rFonts w:ascii="Arial" w:cs="Arial" w:eastAsia="Arial" w:hAnsi="Arial"/>
          <w:i/>
          <w:iCs/>
          <w:color w:val="888888"/>
          <w:sz w:val="22"/>
          <w:szCs w:val="22"/>
        </w:rPr>
        <w:t xml:space="preserve">—— 出海数字化生态服务集团 ——</w:t>
      </w:r>
    </w:p>
    <w:p>
      <w:pPr>
        <w:pBdr>
          <w:top w:val="single" w:color="1A3C6D" w:sz="12" w:space="8"/>
          <w:bottom w:val="single" w:color="1A3C6D" w:sz="12" w:space="8"/>
        </w:pBdr>
        <w:shd w:fill="F0F4FA" w:val="clear"/>
        <w:spacing w:after="40" w:before="200"/>
        <w:jc w:val="center"/>
      </w:pPr>
    </w:p>
    <w:p>
      <w:pPr>
        <w:spacing w:after="0" w:before="300"/>
      </w:pPr>
    </w:p>
    <w:p>
      <w:pPr>
        <w:spacing w:after="600"/>
        <w:jc w:val="center"/>
      </w:pPr>
      <w:r>
        <w:rPr>
          <w:rFonts w:ascii="Arial" w:cs="Arial" w:eastAsia="Arial" w:hAnsi="Arial"/>
          <w:b/>
          <w:bCs/>
          <w:color w:val="2E75B6"/>
          <w:sz w:val="40"/>
          <w:szCs w:val="40"/>
        </w:rPr>
        <w:t xml:space="preserve">2026年3——4月股东汇报</w:t>
      </w:r>
    </w:p>
    <w:p>
      <w:pPr>
        <w:pBdr>
          <w:bottom w:val="single" w:color="2E75B6" w:sz="6" w:space="1"/>
        </w:pBdr>
        <w:spacing w:after="200" w:before="200"/>
      </w:pPr>
    </w:p>
    <w:p>
      <w:pPr>
        <w:spacing w:after="60" w:before="200"/>
        <w:jc w:val="center"/>
      </w:pPr>
      <w:r>
        <w:rPr>
          <w:rFonts w:ascii="Arial" w:cs="Arial" w:eastAsia="Arial" w:hAnsi="Arial"/>
          <w:i/>
          <w:iCs/>
          <w:color w:val="333333"/>
          <w:sz w:val="28"/>
          <w:szCs w:val="28"/>
        </w:rPr>
        <w:t xml:space="preserve">“从生态布局到生态变现”</w:t>
      </w:r>
    </w:p>
    <w:p>
      <w:pPr>
        <w:spacing w:after="60"/>
        <w:jc w:val="center"/>
      </w:pPr>
      <w:r>
        <w:rPr>
          <w:rFonts w:ascii="Arial" w:cs="Arial" w:eastAsia="Arial" w:hAnsi="Arial"/>
          <w:color w:val="888888"/>
          <w:sz w:val="22"/>
          <w:szCs w:val="22"/>
        </w:rPr>
        <w:t xml:space="preserve">汇报期间：2026年3月——4月 | 编制日期：2026年5月22日</w:t>
      </w:r>
    </w:p>
    <w:p>
      <w:r>
        <w:br w:type="page"/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color w:val="1A3C6D"/>
          <w:sz w:val="32"/>
          <w:szCs w:val="32"/>
        </w:rPr>
        <w:t xml:space="preserve">目录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一、核心摘要：从布局到变现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二、财务表现深度拆解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三、主营业务与生态板块进展（全景更新）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四、出海生态能力与资源网络构建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五、投资组合全景分析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六、公司运营健康度评估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七、当前核心问题与应对策略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八、后续发展规划与盈利拐点预测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九、里程碑事件与总结展望</w:t>
      </w:r>
    </w:p>
    <w:p>
      <w:r>
        <w:br w:type="page"/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color w:val="1A3C6D"/>
          <w:sz w:val="32"/>
          <w:szCs w:val="32"/>
        </w:rPr>
        <w:t xml:space="preserve">一、核心摘要：从生态布局到生态变现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尊敬的各位股东：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本次汇报基于数字漫步及合并数漫同频主体的2026年3-4月财务与经营全量数据，并结合各生态板块最新业务进展，全面拆解公司在“培育主业、布局生态”战略投入期的核心经营成果与生态升级。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本期核心结论：公司正从“生态布局”阶段进入“生态变现”阶段。各板块已开始产生真实业务结果——健途亚马逊店铺进入销售状态、Movotex独立站获得70+询盘、摩华建科澳洲卫浴订单进入收官、数漫极光营建赣州城市合伙人并启动欧洲达人供应链溯源与Vdoo产品Q2上线——“技术赋能+实业出海”的生态闭环正在快速成型。</w:t>
      </w:r>
    </w:p>
    <w:p>
      <w:pPr>
        <w:spacing w:after="0" w:before="120"/>
      </w:pP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核心数据一览（截至2026年4月30日）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0"/>
        <w:gridCol w:w="1700"/>
        <w:gridCol w:w="2200"/>
        <w:gridCol w:w="3460"/>
      </w:tblGrid>
      <w:tr>
        <w:tc>
          <w:tcPr>
            <w:tcW w:type="dxa" w:w="20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指标</w:t>
            </w:r>
          </w:p>
        </w:tc>
        <w:tc>
          <w:tcPr>
            <w:tcW w:type="dxa" w:w="17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累计数据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本期变化（3-4月）</w:t>
            </w:r>
          </w:p>
        </w:tc>
        <w:tc>
          <w:tcPr>
            <w:tcW w:type="dxa" w:w="34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与1-2月对比</w:t>
            </w:r>
          </w:p>
        </w:tc>
      </w:tr>
      <w:tr>
        <w:tc>
          <w:tcPr>
            <w:tcW w:type="dxa" w:w="20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营业收入</w:t>
            </w:r>
          </w:p>
        </w:tc>
        <w:tc>
          <w:tcPr>
            <w:tcW w:type="dxa" w:w="17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27.94万元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+2.95万元</w:t>
            </w:r>
          </w:p>
        </w:tc>
        <w:tc>
          <w:tcPr>
            <w:tcW w:type="dxa" w:w="34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↑ 11.8%</w:t>
            </w:r>
          </w:p>
        </w:tc>
      </w:tr>
      <w:tr>
        <w:tc>
          <w:tcPr>
            <w:tcW w:type="dxa" w:w="20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毛利率</w:t>
            </w:r>
          </w:p>
        </w:tc>
        <w:tc>
          <w:tcPr>
            <w:tcW w:type="dxa" w:w="17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50.17%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+2.59pp</w:t>
            </w:r>
          </w:p>
        </w:tc>
        <w:tc>
          <w:tcPr>
            <w:tcW w:type="dxa" w:w="34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47.58% → 50.17%</w:t>
            </w:r>
          </w:p>
        </w:tc>
      </w:tr>
      <w:tr>
        <w:tc>
          <w:tcPr>
            <w:tcW w:type="dxa" w:w="20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净利润</w:t>
            </w:r>
          </w:p>
        </w:tc>
        <w:tc>
          <w:tcPr>
            <w:tcW w:type="dxa" w:w="17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-21.97万元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扩大6.28万元</w:t>
            </w:r>
          </w:p>
        </w:tc>
        <w:tc>
          <w:tcPr>
            <w:tcW w:type="dxa" w:w="34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战略投入期正常现象</w:t>
            </w:r>
          </w:p>
        </w:tc>
      </w:tr>
      <w:tr>
        <w:tc>
          <w:tcPr>
            <w:tcW w:type="dxa" w:w="20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银行存款</w:t>
            </w:r>
          </w:p>
        </w:tc>
        <w:tc>
          <w:tcPr>
            <w:tcW w:type="dxa" w:w="17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51.09万元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-12.37万元</w:t>
            </w:r>
          </w:p>
        </w:tc>
        <w:tc>
          <w:tcPr>
            <w:tcW w:type="dxa" w:w="34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63.46万 → 51.09万</w:t>
            </w:r>
          </w:p>
        </w:tc>
      </w:tr>
      <w:tr>
        <w:tc>
          <w:tcPr>
            <w:tcW w:type="dxa" w:w="20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长期股权投资</w:t>
            </w:r>
          </w:p>
        </w:tc>
        <w:tc>
          <w:tcPr>
            <w:tcW w:type="dxa" w:w="17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12.53万元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+6.15万元</w:t>
            </w:r>
          </w:p>
        </w:tc>
        <w:tc>
          <w:tcPr>
            <w:tcW w:type="dxa" w:w="34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↑ 96.4%，生态布局加速</w:t>
            </w:r>
          </w:p>
        </w:tc>
      </w:tr>
      <w:tr>
        <w:tc>
          <w:tcPr>
            <w:tcW w:type="dxa" w:w="20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资产负债率</w:t>
            </w:r>
          </w:p>
        </w:tc>
        <w:tc>
          <w:tcPr>
            <w:tcW w:type="dxa" w:w="17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5.49%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↓ 33.2%</w:t>
            </w:r>
          </w:p>
        </w:tc>
        <w:tc>
          <w:tcPr>
            <w:tcW w:type="dxa" w:w="34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初创企业极低水平</w:t>
            </w:r>
          </w:p>
        </w:tc>
      </w:tr>
    </w:tbl>
    <w:p>
      <w:pPr>
        <w:spacing w:after="0" w:before="60"/>
      </w:pPr>
    </w:p>
    <w:p>
      <w:pPr>
        <w:spacing w:after="80" w:before="80" w:line="36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本期四大亮点：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毛利率突破50%：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较前期提升2.59pp，远超行业同类初创，主营盈利模型成熟可复制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生态变现全面启动：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健途亚马逊店铺已销售（Vine评测优秀）、Movotex 70+询盘、摩华澳洲订单收官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技术产品化突破：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Vdoo Q2上线+火山引擎深度合作接入Seedance2，启动终端+渠道双线业务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地方资源布局突破：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九米赣州城市合伙人正式落地，组建赣州九米公司，启动地方产业带出海服务模式</w:t>
      </w:r>
    </w:p>
    <w:p>
      <w:r>
        <w:br w:type="page"/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color w:val="1A3C6D"/>
          <w:sz w:val="32"/>
          <w:szCs w:val="32"/>
        </w:rPr>
        <w:t xml:space="preserve">二、财务表现深度拆解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（一）收入趋势：持续向上，结构优化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截至4月底，累计营收27.94万元，较2025年全年增长38.7%，较首次财报增长80.6%。毛利率从35.97%攀升至50.17%，增幅14.2pp，业务结构向高利润方向显著优化。</w:t>
      </w:r>
    </w:p>
    <w:tbl>
      <w:tblPr>
        <w:tblW w:type="dxa" w:w="91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1600"/>
        <w:gridCol w:w="1400"/>
        <w:gridCol w:w="1600"/>
        <w:gridCol w:w="2360"/>
      </w:tblGrid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时间节点</w:t>
            </w:r>
          </w:p>
        </w:tc>
        <w:tc>
          <w:tcPr>
            <w:tcW w:type="dxa" w:w="1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营业收入</w:t>
            </w:r>
          </w:p>
        </w:tc>
        <w:tc>
          <w:tcPr>
            <w:tcW w:type="dxa" w:w="1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毛利率</w:t>
            </w:r>
          </w:p>
        </w:tc>
        <w:tc>
          <w:tcPr>
            <w:tcW w:type="dxa" w:w="1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净利润</w:t>
            </w:r>
          </w:p>
        </w:tc>
        <w:tc>
          <w:tcPr>
            <w:tcW w:type="dxa" w:w="23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增长特征</w:t>
            </w:r>
          </w:p>
        </w:tc>
      </w:tr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2025年全年</w:t>
            </w:r>
          </w:p>
        </w:tc>
        <w:tc>
          <w:tcPr>
            <w:tcW w:type="dxa" w:w="1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20.15万</w:t>
            </w:r>
          </w:p>
        </w:tc>
        <w:tc>
          <w:tcPr>
            <w:tcW w:type="dxa" w:w="1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35.97%</w:t>
            </w:r>
          </w:p>
        </w:tc>
        <w:tc>
          <w:tcPr>
            <w:tcW w:type="dxa" w:w="1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-11.79万</w:t>
            </w:r>
          </w:p>
        </w:tc>
        <w:tc>
          <w:tcPr>
            <w:tcW w:type="dxa" w:w="23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业务边界持续拓展</w:t>
            </w:r>
          </w:p>
        </w:tc>
      </w:tr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2026年1-2月</w:t>
            </w:r>
          </w:p>
        </w:tc>
        <w:tc>
          <w:tcPr>
            <w:tcW w:type="dxa" w:w="1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24.99万</w:t>
            </w:r>
          </w:p>
        </w:tc>
        <w:tc>
          <w:tcPr>
            <w:tcW w:type="dxa" w:w="1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47.58%</w:t>
            </w:r>
          </w:p>
        </w:tc>
        <w:tc>
          <w:tcPr>
            <w:tcW w:type="dxa" w:w="1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-15.69万</w:t>
            </w:r>
          </w:p>
        </w:tc>
        <w:tc>
          <w:tcPr>
            <w:tcW w:type="dxa" w:w="23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毛利率迅速攀升</w:t>
            </w:r>
          </w:p>
        </w:tc>
      </w:tr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2026年3-4月累计</w:t>
            </w:r>
          </w:p>
        </w:tc>
        <w:tc>
          <w:tcPr>
            <w:tcW w:type="dxa" w:w="1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27.94万</w:t>
            </w:r>
          </w:p>
        </w:tc>
        <w:tc>
          <w:tcPr>
            <w:tcW w:type="dxa" w:w="1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50.17%</w:t>
            </w:r>
          </w:p>
        </w:tc>
        <w:tc>
          <w:tcPr>
            <w:tcW w:type="dxa" w:w="1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-21.97万</w:t>
            </w:r>
          </w:p>
        </w:tc>
        <w:tc>
          <w:tcPr>
            <w:tcW w:type="dxa" w:w="23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突破50%，生态变现启动</w:t>
            </w:r>
          </w:p>
        </w:tc>
      </w:tr>
    </w:tbl>
    <w:p>
      <w:pPr>
        <w:spacing w:after="0" w:before="120"/>
      </w:pP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（二）成本与资产结构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成本结构优化：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3-4月新增成本仅为投流费用，无新增项目外包采购，变动成本占比大幅下降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长期股权投资翻倍：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从6.38万增至12.53万，+96.4%，健途国际店铺、Movotex项目重点投入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负债持续降低：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流动负债从5.53万降至3.69万，资产负债率仅5.49%</w:t>
      </w:r>
    </w:p>
    <w:p>
      <w:r>
        <w:br w:type="page"/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color w:val="1A3C6D"/>
          <w:sz w:val="32"/>
          <w:szCs w:val="32"/>
        </w:rPr>
        <w:t xml:space="preserve">三、主营业务与生态板块进展（全景更新）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本期最重要的变化是：各生态板块已从“布局规划”进入“真实变现”阶段，开始产生可量化的业务结果。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（一）数字漫步主营：毛利率突破50%，生态赋能底座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累计项目收入27.22万元、推广收入0.72万元，毛利率突破50%大关。部分项目利润率高达80%-100%，为整个出海生态提供技术、营销、运营全链条赋能。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（二）健途国际：亚马逊北美店铺启动销售，5月初见成绩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C05A0A"/>
          <w:sz w:val="22"/>
          <w:szCs w:val="22"/>
        </w:rPr>
        <w:t xml:space="preserve">★ 重大突破：从投入到出单，生态变现的关键一步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健途国际亚马逊北美店铺已完成全部前期筹备，正式进入运营状态：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产品入库：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已完成产品采购1.16万元、检测0.27万元，已入FBA仓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Vine评测：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亚马逊Vine计划评测结果优秀，产品口碑基础扎实，后续量价转化可期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五月销售数据：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店铺已开始产生销售，将产出首份完整月度销售报表，标志着从0到1的关键跨越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参与模式：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10%财务投资+资源对接的轻模式，德国工厂合作同步推进中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（三）Movotex移动卫浴间：独立站三个月获取70+询盘，社媒即将启动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C05A0A"/>
          <w:sz w:val="22"/>
          <w:szCs w:val="22"/>
        </w:rPr>
        <w:t xml:space="preserve">★ 重大突破：独立站商业验证成功，询盘转化模型跑通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投流成果：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三个月广告投放获取70+海外询盘，验证产品市场需求真实存在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社媒业务：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后续将启动社媒运营，通过TikTok、Instagram建立品牌声量，形成“独立站+社媒”双驱动模型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社媒业务：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后续将启动TikTok、Instagram等社媒运营，形成“独立站+社媒”双驱动模型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（四）摩华建科：澳洲卫浴订单收官、Q2独立站启动直客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C05A0A"/>
          <w:sz w:val="22"/>
          <w:szCs w:val="22"/>
        </w:rPr>
        <w:t xml:space="preserve">★ 重大突破：从渠道代理转向直接客户，利润率将大幅提升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澳洲卫浴订单：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约10万元订单已进入收官阶段，是摩华第一个独立拿下的海外订单，里程碑意义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Q2直客转型：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计划Q2搭建自有品牌独立站，跳过中间商直接触达终端客户，毛利率预计提升15-20pp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美国1100套：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打样已通过验收，进入落地阶段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摩华建科目前已实现盈利，直客转型后盈利能力将进一步提升。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（五）数漫极光：三大战线并进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C05A0A"/>
          <w:sz w:val="22"/>
          <w:szCs w:val="22"/>
        </w:rPr>
        <w:t xml:space="preserve">★ 重大突破：赣州城市合伙人+ 欧洲达人+ Vdoo产品三线开花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333333"/>
          <w:sz w:val="24"/>
          <w:szCs w:val="24"/>
        </w:rPr>
        <w:t xml:space="preserve">5.1 九米赣州城市合伙人正式落地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数漫极光已正式落地九米赣州城市合伙人，组建赣州九米信息公司，这是公司“地方资源变现”战略的关键突破：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赣州产业带资源：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深耕家具、照明、服装等优质供应链集群，为后续出海服务奠定产品基础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商业模式：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数漫极光数字营销能力+九米赣州本地资源，为地方企业提供出海一站式服务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生态协同：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与数漫消防、数漫赣州形成地区联动，构建赣州出海服务矩阵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333333"/>
          <w:sz w:val="24"/>
          <w:szCs w:val="24"/>
        </w:rPr>
        <w:t xml:space="preserve">5.2 组织五月首场欧洲TK达人回国供应链溯源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组织五月份首场欧洲达人回国溯源活动，这是数字漫步出海生态的战略级动作：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达人回国溯源：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组织欧洲TK达人实地探访中国产业带工厂，进行内容生产与溯源拍摄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供应链招商引擎：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以达人资源反向吸引国内优质供应商加入生态，形成“海外需求驱动国内供给”招商模式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欧洲TK分发+TSP：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构建“欧洲达人分发+本土店TSP服务”闭环，为国内品牌提供欧洲全链路服务</w:t>
      </w:r>
    </w:p>
    <w:p>
      <w:pPr>
        <w:pStyle w:val="Heading3"/>
        <w:spacing w:after="120" w:before="240"/>
      </w:pPr>
      <w:r>
        <w:rPr>
          <w:rFonts w:ascii="Arial" w:cs="Arial" w:eastAsia="Arial" w:hAnsi="Arial"/>
          <w:b/>
          <w:bCs/>
          <w:color w:val="333333"/>
          <w:sz w:val="24"/>
          <w:szCs w:val="24"/>
        </w:rPr>
        <w:t xml:space="preserve">5.3 Vdoo视频剪辑产品：Q2上线 + 火山引擎深度合作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数漫极光主导研发的Vdoo AI视频剪辑工具取得重大进展：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产品进度：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第一版Q2上线，已完成技术验证与核心功能开发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火山引擎合作：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深度接入其Seedance2 AI视频生成能力，产品技术壁垒显著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商业化：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启动“终端+渠道”双线：直服用户+职业培训机构等渠道分发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国内算力AI出海：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规划将国内优质算力与AI服务封装标准产品出海，开辟新赛道</w:t>
      </w:r>
    </w:p>
    <w:p>
      <w:pPr>
        <w:spacing w:after="0" w:before="120"/>
      </w:pPr>
    </w:p>
    <w:tbl>
      <w:tblPr>
        <w:tblW w:type="dxa" w:w="89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1400"/>
        <w:gridCol w:w="3080"/>
        <w:gridCol w:w="2980"/>
      </w:tblGrid>
      <w:tr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板块</w:t>
            </w:r>
          </w:p>
        </w:tc>
        <w:tc>
          <w:tcPr>
            <w:tcW w:type="dxa" w:w="1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变现阶段</w:t>
            </w:r>
          </w:p>
        </w:tc>
        <w:tc>
          <w:tcPr>
            <w:tcW w:type="dxa" w:w="30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核心进展</w:t>
            </w:r>
          </w:p>
        </w:tc>
        <w:tc>
          <w:tcPr>
            <w:tcW w:type="dxa" w:w="29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下一步动作</w:t>
            </w:r>
          </w:p>
        </w:tc>
      </w:tr>
      <w:tr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健途国际</w:t>
            </w:r>
          </w:p>
        </w:tc>
        <w:tc>
          <w:tcPr>
            <w:tcW w:type="dxa" w:w="1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★★★
已出单</w:t>
            </w:r>
          </w:p>
        </w:tc>
        <w:tc>
          <w:tcPr>
            <w:tcW w:type="dxa" w:w="30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亚马逊店铺运营，Vine评测优秀</w:t>
            </w:r>
          </w:p>
        </w:tc>
        <w:tc>
          <w:tcPr>
            <w:tcW w:type="dxa" w:w="29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持续优化，启动广告投放</w:t>
            </w:r>
          </w:p>
        </w:tc>
      </w:tr>
      <w:tr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Movotex</w:t>
            </w:r>
          </w:p>
        </w:tc>
        <w:tc>
          <w:tcPr>
            <w:tcW w:type="dxa" w:w="1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★★☆
商业验证</w:t>
            </w:r>
          </w:p>
        </w:tc>
        <w:tc>
          <w:tcPr>
            <w:tcW w:type="dxa" w:w="30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3月投流获取70+询盘</w:t>
            </w:r>
          </w:p>
        </w:tc>
        <w:tc>
          <w:tcPr>
            <w:tcW w:type="dxa" w:w="29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启动社媒业务</w:t>
            </w:r>
          </w:p>
        </w:tc>
      </w:tr>
      <w:tr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摩华建科</w:t>
            </w:r>
          </w:p>
        </w:tc>
        <w:tc>
          <w:tcPr>
            <w:tcW w:type="dxa" w:w="1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★★★
稳定盈利</w:t>
            </w:r>
          </w:p>
        </w:tc>
        <w:tc>
          <w:tcPr>
            <w:tcW w:type="dxa" w:w="30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澳洲订单收官，美国诸项推进</w:t>
            </w:r>
          </w:p>
        </w:tc>
        <w:tc>
          <w:tcPr>
            <w:tcW w:type="dxa" w:w="29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Q2独立站启动直客</w:t>
            </w:r>
          </w:p>
        </w:tc>
      </w:tr>
      <w:tr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数漫极光</w:t>
            </w:r>
          </w:p>
        </w:tc>
        <w:tc>
          <w:tcPr>
            <w:tcW w:type="dxa" w:w="1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★★★
三线开花</w:t>
            </w:r>
          </w:p>
        </w:tc>
        <w:tc>
          <w:tcPr>
            <w:tcW w:type="dxa" w:w="30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赣州合伙人+ 欧洲达人+ Vdoo</w:t>
            </w:r>
          </w:p>
        </w:tc>
        <w:tc>
          <w:tcPr>
            <w:tcW w:type="dxa" w:w="29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五月达人回国+ Q2产品上线</w:t>
            </w:r>
          </w:p>
        </w:tc>
      </w:tr>
      <w:tr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数漫消防</w:t>
            </w:r>
          </w:p>
        </w:tc>
        <w:tc>
          <w:tcPr>
            <w:tcW w:type="dxa" w:w="1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★★☆
商务对接</w:t>
            </w:r>
          </w:p>
        </w:tc>
        <w:tc>
          <w:tcPr>
            <w:tcW w:type="dxa" w:w="30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已输出外贸物料</w:t>
            </w:r>
          </w:p>
        </w:tc>
        <w:tc>
          <w:tcPr>
            <w:tcW w:type="dxa" w:w="29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推动马来政企订单</w:t>
            </w:r>
          </w:p>
        </w:tc>
      </w:tr>
    </w:tbl>
    <w:p>
      <w:r>
        <w:br w:type="page"/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color w:val="1A3C6D"/>
          <w:sz w:val="32"/>
          <w:szCs w:val="32"/>
        </w:rPr>
        <w:t xml:space="preserve">四、出海生态能力与资源网络构建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数字漫步的核心竞争力不仅在于单一业务表现，更在于通过生态协同构建的系统性能力。以下从四个维度拆解“出海服务”领域的能力积累与资源网络：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一、技术能力层：从工具到平台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400"/>
        <w:gridCol w:w="2200"/>
        <w:gridCol w:w="2200"/>
      </w:tblGrid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能力模块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载体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赋能对象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变现路径</w:t>
            </w:r>
          </w:p>
        </w:tc>
      </w:tr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AI视频剪辑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Vdoo（接入Seedance2）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生态内所有出海企业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产品订阅+渠道分发</w:t>
            </w:r>
          </w:p>
        </w:tc>
      </w:tr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独立站建设与SEO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数字漫步主营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生态内外出海企业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项目服务费</w:t>
            </w:r>
          </w:p>
        </w:tc>
      </w:tr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数字广告投放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数字漫步主营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生态内外出海企业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代投服务费</w:t>
            </w:r>
          </w:p>
        </w:tc>
      </w:tr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AI算力服务出海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数漫极光规划中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海外AI应用企业</w:t>
            </w:r>
          </w:p>
        </w:tc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算力租赁+服务</w:t>
            </w:r>
          </w:p>
        </w:tc>
      </w:tr>
    </w:tbl>
    <w:p>
      <w:pPr>
        <w:spacing w:after="0" w:before="120"/>
      </w:pP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二、海外渠道层：从平台到达人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亚马逊能力：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通过健途北美店铺实战，建立选品-供应链-运营-FBA全链路能力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ShopifyDTC能力：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通过Movotex、哈奇米等项目积累建站-投流-转化全链路能力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欧洲TK达人网络：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通过达人回国溯源项目，构建达人资源池+本土店TSP服务能力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三、国内供应链层：从赣州到全国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赣州产业带核心节点：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通过赣州九米公司深耕家具、照明、服装等优质供应链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双向招商模式：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“欧洲达人+国内供应链”反向招商，海外需求驱动国内供给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四、生态协同层：从单点到网络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300"/>
        <w:gridCol w:w="2100"/>
        <w:gridCol w:w="4600"/>
      </w:tblGrid>
      <w:tr>
        <w:tc>
          <w:tcPr>
            <w:tcW w:type="dxa" w:w="23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协同关系</w:t>
            </w:r>
          </w:p>
        </w:tc>
        <w:tc>
          <w:tcPr>
            <w:tcW w:type="dxa" w:w="21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赋能方向</w:t>
            </w:r>
          </w:p>
        </w:tc>
        <w:tc>
          <w:tcPr>
            <w:tcW w:type="dxa" w:w="4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具体体现</w:t>
            </w:r>
          </w:p>
        </w:tc>
      </w:tr>
      <w:tr>
        <w:tc>
          <w:tcPr>
            <w:tcW w:type="dxa" w:w="23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数字漫步 → 生态</w:t>
            </w:r>
          </w:p>
        </w:tc>
        <w:tc>
          <w:tcPr>
            <w:tcW w:type="dxa" w:w="21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技术+营销赋能</w:t>
            </w:r>
          </w:p>
        </w:tc>
        <w:tc>
          <w:tcPr>
            <w:tcW w:type="dxa" w:w="4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为健途、Movotex、摩华提供建站、投流、SEO</w:t>
            </w:r>
          </w:p>
        </w:tc>
      </w:tr>
      <w:tr>
        <w:tc>
          <w:tcPr>
            <w:tcW w:type="dxa" w:w="23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数漫极光 → 生态</w:t>
            </w:r>
          </w:p>
        </w:tc>
        <w:tc>
          <w:tcPr>
            <w:tcW w:type="dxa" w:w="21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产品+资源赋能</w:t>
            </w:r>
          </w:p>
        </w:tc>
        <w:tc>
          <w:tcPr>
            <w:tcW w:type="dxa" w:w="4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Vdoo工具、欧洲达人资源、赣州供应链</w:t>
            </w:r>
          </w:p>
        </w:tc>
      </w:tr>
      <w:tr>
        <w:tc>
          <w:tcPr>
            <w:tcW w:type="dxa" w:w="23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生态 → 数字漫步</w:t>
            </w:r>
          </w:p>
        </w:tc>
        <w:tc>
          <w:tcPr>
            <w:tcW w:type="dxa" w:w="21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业务反哺</w:t>
            </w:r>
          </w:p>
        </w:tc>
        <w:tc>
          <w:tcPr>
            <w:tcW w:type="dxa" w:w="4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各板块增大数字漫步服务需求</w:t>
            </w:r>
          </w:p>
        </w:tc>
      </w:tr>
      <w:tr>
        <w:tc>
          <w:tcPr>
            <w:tcW w:type="dxa" w:w="23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生态内互联</w:t>
            </w:r>
          </w:p>
        </w:tc>
        <w:tc>
          <w:tcPr>
            <w:tcW w:type="dxa" w:w="21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跨板块协同</w:t>
            </w:r>
          </w:p>
        </w:tc>
        <w:tc>
          <w:tcPr>
            <w:tcW w:type="dxa" w:w="4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赣州联动消防、Vdoo赋能全生态</w:t>
            </w:r>
          </w:p>
        </w:tc>
      </w:tr>
    </w:tbl>
    <w:p>
      <w:pPr>
        <w:spacing w:after="0" w:before="120"/>
      </w:pPr>
    </w:p>
    <w:p>
      <w:pPr>
        <w:spacing w:after="80" w:before="80" w:line="36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生态核心价值：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数字漫步不仅是一家服务公司，而是“出海生态组织者”。通过技术工具（Vdoo）、海外资源（达人+本土店）、国内供应链（赣州产业带）三大支柱，为出海企业提供全链路支持，同时分享生态企业的增长红利。这种网络效应随生态体量增大将呈指数级增长。</w:t>
      </w:r>
    </w:p>
    <w:p>
      <w:r>
        <w:br w:type="page"/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color w:val="1A3C6D"/>
          <w:sz w:val="32"/>
          <w:szCs w:val="32"/>
        </w:rPr>
        <w:t xml:space="preserve">五、投资组合全景分析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截至4月底，对外投资累计收益-29,210.35元（未计入公司利润）。随着各板块进入变现期，投资回报将逐步兑现：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500"/>
        <w:gridCol w:w="800"/>
        <w:gridCol w:w="1200"/>
        <w:gridCol w:w="1600"/>
        <w:gridCol w:w="3900"/>
      </w:tblGrid>
      <w:tr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投资标的</w:t>
            </w:r>
          </w:p>
        </w:tc>
        <w:tc>
          <w:tcPr>
            <w:tcW w:type="dxa" w:w="8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持股</w:t>
            </w:r>
          </w:p>
        </w:tc>
        <w:tc>
          <w:tcPr>
            <w:tcW w:type="dxa" w:w="1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营收</w:t>
            </w:r>
          </w:p>
        </w:tc>
        <w:tc>
          <w:tcPr>
            <w:tcW w:type="dxa" w:w="1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累计净利润</w:t>
            </w:r>
          </w:p>
        </w:tc>
        <w:tc>
          <w:tcPr>
            <w:tcW w:type="dxa" w:w="39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变现状态与前景</w:t>
            </w:r>
          </w:p>
        </w:tc>
      </w:tr>
      <w:tr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数漫极光</w:t>
            </w:r>
          </w:p>
        </w:tc>
        <w:tc>
          <w:tcPr>
            <w:tcW w:type="dxa" w:w="8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40%</w:t>
            </w:r>
          </w:p>
        </w:tc>
        <w:tc>
          <w:tcPr>
            <w:tcW w:type="dxa" w:w="1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2.97万</w:t>
            </w:r>
          </w:p>
        </w:tc>
        <w:tc>
          <w:tcPr>
            <w:tcW w:type="dxa" w:w="1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-2.33万</w:t>
            </w:r>
          </w:p>
        </w:tc>
        <w:tc>
          <w:tcPr>
            <w:tcW w:type="dxa" w:w="39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赣州合伙人、欧洲达人、Vdoo产品均有明确变现路径</w:t>
            </w:r>
          </w:p>
        </w:tc>
      </w:tr>
      <w:tr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摩华建科</w:t>
            </w:r>
          </w:p>
        </w:tc>
        <w:tc>
          <w:tcPr>
            <w:tcW w:type="dxa" w:w="8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24%</w:t>
            </w:r>
          </w:p>
        </w:tc>
        <w:tc>
          <w:tcPr>
            <w:tcW w:type="dxa" w:w="1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2.76万</w:t>
            </w:r>
          </w:p>
        </w:tc>
        <w:tc>
          <w:tcPr>
            <w:tcW w:type="dxa" w:w="1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已盈利</w:t>
            </w:r>
          </w:p>
        </w:tc>
        <w:tc>
          <w:tcPr>
            <w:tcW w:type="dxa" w:w="39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澳洲订单收官，Q2启动直客</w:t>
            </w:r>
          </w:p>
        </w:tc>
      </w:tr>
      <w:tr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健途生科</w:t>
            </w:r>
          </w:p>
        </w:tc>
        <w:tc>
          <w:tcPr>
            <w:tcW w:type="dxa" w:w="8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10%</w:t>
            </w:r>
          </w:p>
        </w:tc>
        <w:tc>
          <w:tcPr>
            <w:tcW w:type="dxa" w:w="1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0</w:t>
            </w:r>
          </w:p>
        </w:tc>
        <w:tc>
          <w:tcPr>
            <w:tcW w:type="dxa" w:w="1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-11.42万</w:t>
            </w:r>
          </w:p>
        </w:tc>
        <w:tc>
          <w:tcPr>
            <w:tcW w:type="dxa" w:w="39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亚马逊店铺已出单，德国合作推进</w:t>
            </w:r>
          </w:p>
        </w:tc>
      </w:tr>
      <w:tr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健途国际</w:t>
            </w:r>
          </w:p>
        </w:tc>
        <w:tc>
          <w:tcPr>
            <w:tcW w:type="dxa" w:w="8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关联</w:t>
            </w:r>
          </w:p>
        </w:tc>
        <w:tc>
          <w:tcPr>
            <w:tcW w:type="dxa" w:w="1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0</w:t>
            </w:r>
          </w:p>
        </w:tc>
        <w:tc>
          <w:tcPr>
            <w:tcW w:type="dxa" w:w="1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-6.22万</w:t>
            </w:r>
          </w:p>
        </w:tc>
        <w:tc>
          <w:tcPr>
            <w:tcW w:type="dxa" w:w="39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Vine评测优秀，5月初见销售数据</w:t>
            </w:r>
          </w:p>
        </w:tc>
      </w:tr>
      <w:tr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Movotex</w:t>
            </w:r>
          </w:p>
        </w:tc>
        <w:tc>
          <w:tcPr>
            <w:tcW w:type="dxa" w:w="8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新项目</w:t>
            </w:r>
          </w:p>
        </w:tc>
        <w:tc>
          <w:tcPr>
            <w:tcW w:type="dxa" w:w="1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0</w:t>
            </w:r>
          </w:p>
        </w:tc>
        <w:tc>
          <w:tcPr>
            <w:tcW w:type="dxa" w:w="1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-1.78万</w:t>
            </w:r>
          </w:p>
        </w:tc>
        <w:tc>
          <w:tcPr>
            <w:tcW w:type="dxa" w:w="39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70+询盘，商业验证成功，社媒即将启动</w:t>
            </w:r>
          </w:p>
        </w:tc>
      </w:tr>
      <w:tr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数漫赣州</w:t>
            </w:r>
          </w:p>
        </w:tc>
        <w:tc>
          <w:tcPr>
            <w:tcW w:type="dxa" w:w="8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控股</w:t>
            </w:r>
          </w:p>
        </w:tc>
        <w:tc>
          <w:tcPr>
            <w:tcW w:type="dxa" w:w="1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0</w:t>
            </w:r>
          </w:p>
        </w:tc>
        <w:tc>
          <w:tcPr>
            <w:tcW w:type="dxa" w:w="16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-0.03万</w:t>
            </w:r>
          </w:p>
        </w:tc>
        <w:tc>
          <w:tcPr>
            <w:tcW w:type="dxa" w:w="39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消防出海对接中</w:t>
            </w:r>
          </w:p>
        </w:tc>
      </w:tr>
    </w:tbl>
    <w:p>
      <w:pPr>
        <w:spacing w:after="0" w:before="120"/>
      </w:pPr>
    </w:p>
    <w:p>
      <w:pPr>
        <w:spacing w:after="80" w:before="80" w:line="36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投资组合核心发现：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从投入期到变现期：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所有标的均已产生真实业务结果，不再是“纯投入”状态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赣州九米赋能多板块：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同时服务数漫消防、数漫极光、数字漫步等多个板块，投资效率极高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健途即将收益兑现：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亚马逊店铺已销售，Vine好评，下半年有望产生正向报酬</w:t>
      </w:r>
    </w:p>
    <w:p>
      <w:r>
        <w:br w:type="page"/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color w:val="1A3C6D"/>
          <w:sz w:val="32"/>
          <w:szCs w:val="32"/>
        </w:rPr>
        <w:t xml:space="preserve">六、公司运营健康度评估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1. 财务健康度：有提升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现金安全边际：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银行存款51.09万，流动负债覆盖倍13.8倍，零资金风险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2. 业务健康度：持续提升↑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变现信号密集：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健途出单+Movotex 70+询盘+摩华澳洲收官——三板块同时产生商业结果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技术产品化突破：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Vdoo+Seedance2合作，为生态提供技术壁垒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3. 管理健康度：稳步提升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生态协同升级：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从单向赋能到双向反哺，各板块相互导流共享资源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成本结构优化：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可变成本占比持续下降，新接项目毛利率显著提升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2400"/>
        <w:gridCol w:w="4400"/>
      </w:tblGrid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评估维度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评估结论</w:t>
            </w:r>
          </w:p>
        </w:tc>
        <w:tc>
          <w:tcPr>
            <w:tcW w:type="dxa" w:w="4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核心依据</w:t>
            </w:r>
          </w:p>
        </w:tc>
      </w:tr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财务健康度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有提升</w:t>
            </w:r>
          </w:p>
        </w:tc>
        <w:tc>
          <w:tcPr>
            <w:tcW w:type="dxa" w:w="4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现金充沛、低负债、高回款质量</w:t>
            </w:r>
          </w:p>
        </w:tc>
      </w:tr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业务健康度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持续提升</w:t>
            </w:r>
          </w:p>
        </w:tc>
        <w:tc>
          <w:tcPr>
            <w:tcW w:type="dxa" w:w="4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多板块变现、技术产品化、海外资源网络</w:t>
            </w:r>
          </w:p>
        </w:tc>
      </w:tr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管理健康度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稳步提升</w:t>
            </w:r>
          </w:p>
        </w:tc>
        <w:tc>
          <w:tcPr>
            <w:tcW w:type="dxa" w:w="4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生态协同升级、成本优化</w:t>
            </w:r>
          </w:p>
        </w:tc>
      </w:tr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综合评估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整体提升中</w:t>
            </w:r>
          </w:p>
        </w:tc>
        <w:tc>
          <w:tcPr>
            <w:tcW w:type="dxa" w:w="4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从布局期迈入变现期，长期价值路径愈发清晰</w:t>
            </w:r>
          </w:p>
        </w:tc>
      </w:tr>
    </w:tbl>
    <w:p>
      <w:r>
        <w:br w:type="page"/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color w:val="1A3C6D"/>
          <w:sz w:val="32"/>
          <w:szCs w:val="32"/>
        </w:rPr>
        <w:t xml:space="preserve">七、当前核心问题与应对策略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问题一：营收规模尚未覆盖固定成本</w:t>
      </w:r>
    </w:p>
    <w:p>
      <w:pPr>
        <w:spacing w:after="80" w:before="80" w:line="36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应对：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P0：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聚焦高毛利出海服务项目，暂停低毛利定制化项目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P0：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全力推动健途亚马逊销售爬坡、摩华大额订单落地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问题二：多线作战管理精力分散</w:t>
      </w:r>
    </w:p>
    <w:p>
      <w:pPr>
        <w:spacing w:after="80" w:before="80" w:line="36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应对：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P0：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短期聚焦健途出单、Vdoo上线、欧洲达人三大支撑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P1：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各板块设立独立运营负责人，主体提供技术与资源支撑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问题三：海外资源网络处于早期</w:t>
      </w:r>
    </w:p>
    <w:p>
      <w:pPr>
        <w:spacing w:after="80" w:before="80" w:line="36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应对：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P0：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5月启动首次欧洲达人回国，小步快跑验证模式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P1：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通过达人溯源案例驱动更多达人加入</w:t>
      </w:r>
    </w:p>
    <w:p>
      <w:r>
        <w:br w:type="page"/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color w:val="1A3C6D"/>
          <w:sz w:val="32"/>
          <w:szCs w:val="32"/>
        </w:rPr>
        <w:t xml:space="preserve">八、后续发展规划与盈利拐点预测</w:t>
      </w: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（一）短期重点动作（5-7月）</w:t>
      </w:r>
    </w:p>
    <w:tbl>
      <w:tblPr>
        <w:tblW w:type="dxa" w:w="90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00"/>
        <w:gridCol w:w="2000"/>
        <w:gridCol w:w="3480"/>
        <w:gridCol w:w="2820"/>
      </w:tblGrid>
      <w:tr>
        <w:tc>
          <w:tcPr>
            <w:tcW w:type="dxa" w:w="7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优先级</w:t>
            </w:r>
          </w:p>
        </w:tc>
        <w:tc>
          <w:tcPr>
            <w:tcW w:type="dxa" w:w="20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重点事项</w:t>
            </w:r>
          </w:p>
        </w:tc>
        <w:tc>
          <w:tcPr>
            <w:tcW w:type="dxa" w:w="34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具体动作</w:t>
            </w:r>
          </w:p>
        </w:tc>
        <w:tc>
          <w:tcPr>
            <w:tcW w:type="dxa" w:w="282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预期效果</w:t>
            </w:r>
          </w:p>
        </w:tc>
      </w:tr>
      <w:tr>
        <w:tc>
          <w:tcPr>
            <w:tcW w:type="dxa" w:w="7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P0</w:t>
            </w:r>
          </w:p>
        </w:tc>
        <w:tc>
          <w:tcPr>
            <w:tcW w:type="dxa" w:w="20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健途销售爬坡</w:t>
            </w:r>
          </w:p>
        </w:tc>
        <w:tc>
          <w:tcPr>
            <w:tcW w:type="dxa" w:w="34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优化Listing，利用Vine好评启动广告投放</w:t>
            </w:r>
          </w:p>
        </w:tc>
        <w:tc>
          <w:tcPr>
            <w:tcW w:type="dxa" w:w="282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实现稳定月销，验证亚马逊模型</w:t>
            </w:r>
          </w:p>
        </w:tc>
      </w:tr>
      <w:tr>
        <w:tc>
          <w:tcPr>
            <w:tcW w:type="dxa" w:w="7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P0</w:t>
            </w:r>
          </w:p>
        </w:tc>
        <w:tc>
          <w:tcPr>
            <w:tcW w:type="dxa" w:w="20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Vdoo Q2上线</w:t>
            </w:r>
          </w:p>
        </w:tc>
        <w:tc>
          <w:tcPr>
            <w:tcW w:type="dxa" w:w="34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发布首版，启动终端+渠道销售</w:t>
            </w:r>
          </w:p>
        </w:tc>
        <w:tc>
          <w:tcPr>
            <w:tcW w:type="dxa" w:w="282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开辟技术产品收入新曲线</w:t>
            </w:r>
          </w:p>
        </w:tc>
      </w:tr>
      <w:tr>
        <w:tc>
          <w:tcPr>
            <w:tcW w:type="dxa" w:w="7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P0</w:t>
            </w:r>
          </w:p>
        </w:tc>
        <w:tc>
          <w:tcPr>
            <w:tcW w:type="dxa" w:w="20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欧洲达人回国</w:t>
            </w:r>
          </w:p>
        </w:tc>
        <w:tc>
          <w:tcPr>
            <w:tcW w:type="dxa" w:w="34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5月启动首次活动，完成招商案例</w:t>
            </w:r>
          </w:p>
        </w:tc>
        <w:tc>
          <w:tcPr>
            <w:tcW w:type="dxa" w:w="282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建立达人-供应链对接模型</w:t>
            </w:r>
          </w:p>
        </w:tc>
      </w:tr>
      <w:tr>
        <w:tc>
          <w:tcPr>
            <w:tcW w:type="dxa" w:w="7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P1</w:t>
            </w:r>
          </w:p>
        </w:tc>
        <w:tc>
          <w:tcPr>
            <w:tcW w:type="dxa" w:w="20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摩华直客转型</w:t>
            </w:r>
          </w:p>
        </w:tc>
        <w:tc>
          <w:tcPr>
            <w:tcW w:type="dxa" w:w="34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Q2独立站上线，澳洲订单交付</w:t>
            </w:r>
          </w:p>
        </w:tc>
        <w:tc>
          <w:tcPr>
            <w:tcW w:type="dxa" w:w="282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提升利润率15-20pp</w:t>
            </w:r>
          </w:p>
        </w:tc>
      </w:tr>
      <w:tr>
        <w:tc>
          <w:tcPr>
            <w:tcW w:type="dxa" w:w="7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P1</w:t>
            </w:r>
          </w:p>
        </w:tc>
        <w:tc>
          <w:tcPr>
            <w:tcW w:type="dxa" w:w="20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Movotex社媒</w:t>
            </w:r>
          </w:p>
        </w:tc>
        <w:tc>
          <w:tcPr>
            <w:tcW w:type="dxa" w:w="34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开通TikTok、Instagram账号</w:t>
            </w:r>
          </w:p>
        </w:tc>
        <w:tc>
          <w:tcPr>
            <w:tcW w:type="dxa" w:w="282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“独立站+社媒”双驱动</w:t>
            </w:r>
          </w:p>
        </w:tc>
      </w:tr>
      <w:tr>
        <w:tc>
          <w:tcPr>
            <w:tcW w:type="dxa" w:w="7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P1</w:t>
            </w:r>
          </w:p>
        </w:tc>
        <w:tc>
          <w:tcPr>
            <w:tcW w:type="dxa" w:w="20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赣州资源变现</w:t>
            </w:r>
          </w:p>
        </w:tc>
        <w:tc>
          <w:tcPr>
            <w:tcW w:type="dxa" w:w="34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对接本地企业出海需求</w:t>
            </w:r>
          </w:p>
        </w:tc>
        <w:tc>
          <w:tcPr>
            <w:tcW w:type="dxa" w:w="282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地方产业带出海服务</w:t>
            </w:r>
          </w:p>
        </w:tc>
      </w:tr>
      <w:tr>
        <w:tc>
          <w:tcPr>
            <w:tcW w:type="dxa" w:w="7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P2</w:t>
            </w:r>
          </w:p>
        </w:tc>
        <w:tc>
          <w:tcPr>
            <w:tcW w:type="dxa" w:w="20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算力AI出海</w:t>
            </w:r>
          </w:p>
        </w:tc>
        <w:tc>
          <w:tcPr>
            <w:tcW w:type="dxa" w:w="348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产品包装与海外渠道对接</w:t>
            </w:r>
          </w:p>
        </w:tc>
        <w:tc>
          <w:tcPr>
            <w:tcW w:type="dxa" w:w="282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开辟第二曲线</w:t>
            </w:r>
          </w:p>
        </w:tc>
      </w:tr>
    </w:tbl>
    <w:p>
      <w:pPr>
        <w:spacing w:after="0" w:before="120"/>
      </w:pP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（二）长期价值布局</w:t>
      </w:r>
    </w:p>
    <w:tbl>
      <w:tblPr>
        <w:tblW w:type="dxa" w:w="8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3760"/>
        <w:gridCol w:w="2840"/>
      </w:tblGrid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战略方向</w:t>
            </w:r>
          </w:p>
        </w:tc>
        <w:tc>
          <w:tcPr>
            <w:tcW w:type="dxa" w:w="37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具体内容</w:t>
            </w:r>
          </w:p>
        </w:tc>
        <w:tc>
          <w:tcPr>
            <w:tcW w:type="dxa" w:w="284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预期价值</w:t>
            </w:r>
          </w:p>
        </w:tc>
      </w:tr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技术产品出海</w:t>
            </w:r>
          </w:p>
        </w:tc>
        <w:tc>
          <w:tcPr>
            <w:tcW w:type="dxa" w:w="37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Vdoo迭代+国内算力AI服务出海</w:t>
            </w:r>
          </w:p>
        </w:tc>
        <w:tc>
          <w:tcPr>
            <w:tcW w:type="dxa" w:w="284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构建SaaS收入模型</w:t>
            </w:r>
          </w:p>
        </w:tc>
      </w:tr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海外达人生态</w:t>
            </w:r>
          </w:p>
        </w:tc>
        <w:tc>
          <w:tcPr>
            <w:tcW w:type="dxa" w:w="37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达人资源池+TSP服务+国内招商</w:t>
            </w:r>
          </w:p>
        </w:tc>
        <w:tc>
          <w:tcPr>
            <w:tcW w:type="dxa" w:w="284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双边收费模垏</w:t>
            </w:r>
          </w:p>
        </w:tc>
      </w:tr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亚马逊跨境</w:t>
            </w:r>
          </w:p>
        </w:tc>
        <w:tc>
          <w:tcPr>
            <w:tcW w:type="dxa" w:w="37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健途模式验证后复制扩张</w:t>
            </w:r>
          </w:p>
        </w:tc>
        <w:tc>
          <w:tcPr>
            <w:tcW w:type="dxa" w:w="284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成熟跨境变现路径</w:t>
            </w:r>
          </w:p>
        </w:tc>
      </w:tr>
      <w:tr>
        <w:tc>
          <w:tcPr>
            <w:tcW w:type="dxa" w:w="2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实业DTC</w:t>
            </w:r>
          </w:p>
        </w:tc>
        <w:tc>
          <w:tcPr>
            <w:tcW w:type="dxa" w:w="376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摩华直客转型+Movotex独立站</w:t>
            </w:r>
          </w:p>
        </w:tc>
        <w:tc>
          <w:tcPr>
            <w:tcW w:type="dxa" w:w="284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中国制造+海外DTC闭环</w:t>
            </w:r>
          </w:p>
        </w:tc>
      </w:tr>
    </w:tbl>
    <w:p>
      <w:pPr>
        <w:spacing w:after="0" w:before="120"/>
      </w:pPr>
    </w:p>
    <w:p>
      <w:pPr>
        <w:pStyle w:val="Heading2"/>
        <w:spacing w:after="160" w:before="320"/>
      </w:pPr>
      <w:r>
        <w:rPr>
          <w:rFonts w:ascii="Arial" w:cs="Arial" w:eastAsia="Arial" w:hAnsi="Arial"/>
          <w:b/>
          <w:bCs/>
          <w:color w:val="2E75B6"/>
          <w:sz w:val="28"/>
          <w:szCs w:val="28"/>
        </w:rPr>
        <w:t xml:space="preserve">盈利拐点预测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乐观：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健途销售爬坡+Vdoo上线+摩华回款——三大变现线共振，预计Q3单月盈利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基准：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在现有增速下，通过成本优化与变现板块增长，预计年底单月盈利，2027Q1累计扭亏</w:t>
      </w:r>
    </w:p>
    <w:p>
      <w:r>
        <w:br w:type="page"/>
      </w:r>
    </w:p>
    <w:p>
      <w:pPr>
        <w:pStyle w:val="Heading1"/>
        <w:spacing w:after="200" w:before="400"/>
      </w:pPr>
      <w:r>
        <w:rPr>
          <w:rFonts w:ascii="Arial" w:cs="Arial" w:eastAsia="Arial" w:hAnsi="Arial"/>
          <w:b/>
          <w:bCs/>
          <w:color w:val="1A3C6D"/>
          <w:sz w:val="32"/>
          <w:szCs w:val="32"/>
        </w:rPr>
        <w:t xml:space="preserve">九、里程碑事件与总结展望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数字漫步正式从“生态布局”迈入“生态变现”。本期三大里程碑标志着这一转变：</w:t>
      </w:r>
    </w:p>
    <w:p>
      <w:pPr>
        <w:spacing w:after="0" w:before="80"/>
      </w:pPr>
    </w:p>
    <w:tbl>
      <w:tblPr>
        <w:tblW w:type="dxa" w:w="84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0"/>
        <w:gridCol w:w="2400"/>
        <w:gridCol w:w="1500"/>
        <w:gridCol w:w="3300"/>
      </w:tblGrid>
      <w:tr>
        <w:tc>
          <w:tcPr>
            <w:tcW w:type="dxa" w:w="1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里程碑编号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事件</w:t>
            </w:r>
          </w:p>
        </w:tc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时间节点</w:t>
            </w:r>
          </w:p>
        </w:tc>
        <w:tc>
          <w:tcPr>
            <w:tcW w:type="dxa" w:w="33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2E75B6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战略意义</w:t>
            </w:r>
          </w:p>
        </w:tc>
      </w:tr>
      <w:tr>
        <w:tc>
          <w:tcPr>
            <w:tcW w:type="dxa" w:w="1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①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健途国际亚马逊北美店铺启动销售</w:t>
            </w:r>
          </w:p>
        </w:tc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2026年5月</w:t>
            </w:r>
          </w:p>
        </w:tc>
        <w:tc>
          <w:tcPr>
            <w:tcW w:type="dxa" w:w="33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数字漫步生态从“投入”到“出单”的关键一步，标志着跨境电商变现路径打通</w:t>
            </w:r>
          </w:p>
        </w:tc>
      </w:tr>
      <w:tr>
        <w:tc>
          <w:tcPr>
            <w:tcW w:type="dxa" w:w="1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②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九米赣州城市合伙人正式落地</w:t>
            </w:r>
          </w:p>
        </w:tc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2026年Q2</w:t>
            </w:r>
          </w:p>
        </w:tc>
        <w:tc>
          <w:tcPr>
            <w:tcW w:type="dxa" w:w="33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数字漫步“地方资源变现”战略的关键突破，建立地方产业带与出海服务的连接桥梁</w:t>
            </w:r>
          </w:p>
        </w:tc>
      </w:tr>
      <w:tr>
        <w:tc>
          <w:tcPr>
            <w:tcW w:type="dxa" w:w="1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③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Vdoo AI视频剪辑工具Q2上线，接入火山引擎Seedance2</w:t>
            </w:r>
          </w:p>
        </w:tc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2026年Q2</w:t>
            </w:r>
          </w:p>
        </w:tc>
        <w:tc>
          <w:tcPr>
            <w:tcW w:type="dxa" w:w="33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数字漫步从“项目公司”到“产品公司”的质变，拥有自有技术产品能力</w:t>
            </w:r>
          </w:p>
        </w:tc>
      </w:tr>
      <w:tr>
        <w:tc>
          <w:tcPr>
            <w:tcW w:type="dxa" w:w="1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④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欧洲TikTok达人首次回国供应链溯源</w:t>
            </w:r>
          </w:p>
        </w:tc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2026年5月</w:t>
            </w:r>
          </w:p>
        </w:tc>
        <w:tc>
          <w:tcPr>
            <w:tcW w:type="dxa" w:w="33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构建“海外达人资源池+国内供应链”双向招商模式，开启“达人分发+TSP”服务闭环</w:t>
            </w:r>
          </w:p>
        </w:tc>
      </w:tr>
      <w:tr>
        <w:tc>
          <w:tcPr>
            <w:tcW w:type="dxa" w:w="1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⑤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摩华建科澳洲卫浴约10万订单收官</w:t>
            </w:r>
          </w:p>
        </w:tc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2026年Q2</w:t>
            </w:r>
          </w:p>
        </w:tc>
        <w:tc>
          <w:tcPr>
            <w:tcW w:type="dxa" w:w="33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摩华首个独立拿下的海外订单，拓展“直接客户”能力的里程碑</w:t>
            </w:r>
          </w:p>
        </w:tc>
      </w:tr>
      <w:tr>
        <w:tc>
          <w:tcPr>
            <w:tcW w:type="dxa" w:w="12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⑥</w:t>
            </w:r>
          </w:p>
        </w:tc>
        <w:tc>
          <w:tcPr>
            <w:tcW w:type="dxa" w:w="24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Movotex移动卫浴间Shopify独立站三个月获取70+询盘</w:t>
            </w:r>
          </w:p>
        </w:tc>
        <w:tc>
          <w:tcPr>
            <w:tcW w:type="dxa" w:w="15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2026年Q2</w:t>
            </w:r>
          </w:p>
        </w:tc>
        <w:tc>
          <w:tcPr>
            <w:tcW w:type="dxa" w:w="3300"/>
            <w:tcBorders>
              <w:top w:val="single" w:color="B0BED0" w:sz="1"/>
              <w:left w:val="single" w:color="B0BED0" w:sz="1"/>
              <w:bottom w:val="single" w:color="B0BED0" w:sz="1"/>
              <w:right w:val="single" w:color="B0BED0" w:sz="1"/>
            </w:tcBorders>
            <w:shd w:fill="EBF0F7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40" w:before="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color w:val="444444"/>
                <w:sz w:val="20"/>
                <w:szCs w:val="20"/>
              </w:rPr>
              <w:t xml:space="preserve">“中国制造+海外DTC”模式验证成功，社媒业务即将启动</w:t>
            </w:r>
          </w:p>
        </w:tc>
      </w:tr>
    </w:tbl>
    <w:p>
      <w:pPr>
        <w:spacing w:after="0" w:before="120"/>
      </w:pPr>
    </w:p>
    <w:p>
      <w:pPr>
        <w:spacing w:after="80" w:before="80" w:line="360"/>
      </w:pPr>
      <w:r>
        <w:rPr>
          <w:rFonts w:ascii="Arial" w:cs="Arial" w:eastAsia="Arial" w:hAnsi="Arial"/>
          <w:b/>
          <w:bCs/>
          <w:color w:val="333333"/>
          <w:sz w:val="22"/>
          <w:szCs w:val="22"/>
        </w:rPr>
        <w:t xml:space="preserve">重磅总结：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营收增长：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较首次财报增长80.6%，毛利率突破50%大关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现金与资产：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结构极度稳健，资产负债率仅5.49%，零资金风险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生态变现：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健途出单、Movotex 70+询盘、摩华澳洲收官、数漫极光三线开花、九米赣州落地、Vdoo Q2上线</w:t>
      </w:r>
    </w:p>
    <w:p>
      <w:pPr>
        <w:spacing w:after="40" w:before="40" w:line="340"/>
      </w:pPr>
      <w:r>
        <w:rPr>
          <w:rFonts w:ascii="Arial" w:cs="Arial" w:eastAsia="Arial" w:hAnsi="Arial"/>
          <w:b/>
          <w:bCs/>
          <w:color w:val="1A3C6D"/>
          <w:sz w:val="22"/>
          <w:szCs w:val="22"/>
        </w:rPr>
        <w:t xml:space="preserve">▸ 战略升级：</w:t>
      </w:r>
      <w:r>
        <w:rPr>
          <w:rFonts w:ascii="Arial" w:cs="Arial" w:eastAsia="Arial" w:hAnsi="Arial"/>
          <w:color w:val="444444"/>
          <w:sz w:val="22"/>
          <w:szCs w:val="22"/>
        </w:rPr>
        <w:t xml:space="preserve"> 从“出海服务商”升级为“出海生态组织者”，构建技术、资源、供应链三位一体的系统性能力</w:t>
      </w:r>
    </w:p>
    <w:p>
      <w:pPr>
        <w:spacing w:after="0" w:before="60"/>
      </w:pP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数字漫步正从单一项目交付公司，向具有生态协同效应的企业服务集团进化。短期阶段性亏损主要源于战略性投入，随着各生态板块逐步成熟和协同效应释放，公司价值将加速显现。</w:t>
      </w:r>
    </w:p>
    <w:p>
      <w:pPr>
        <w:spacing w:after="80" w:before="80" w:line="360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感谢各位股东的信任与支持！数字漫步团队将坚定执行既定战略，务实推进订单落地、成本管控与生态变现，全力加快盈利拐点到来，为各位股东创造稳健可观的投资回报！</w:t>
      </w:r>
    </w:p>
    <w:p>
      <w:pPr>
        <w:spacing w:after="0" w:before="200"/>
      </w:pPr>
    </w:p>
    <w:p>
      <w:pPr>
        <w:pBdr>
          <w:bottom w:val="single" w:color="2E75B6" w:sz="6" w:space="1"/>
        </w:pBdr>
        <w:spacing w:after="200" w:before="200"/>
      </w:pPr>
    </w:p>
    <w:p>
      <w:pPr>
        <w:spacing w:after="0" w:before="120"/>
      </w:pPr>
    </w:p>
    <w:p>
      <w:pPr>
        <w:spacing w:after="60" w:before="100"/>
        <w:jc w:val="center"/>
      </w:pPr>
      <w:r>
        <w:rPr>
          <w:rFonts w:ascii="Arial" w:cs="Arial" w:eastAsia="Arial" w:hAnsi="Arial"/>
          <w:b/>
          <w:bCs/>
          <w:color w:val="1A3C6D"/>
          <w:sz w:val="24"/>
          <w:szCs w:val="24"/>
        </w:rPr>
        <w:t xml:space="preserve">感谢各位股东的信任与支持！</w:t>
      </w:r>
    </w:p>
    <w:p>
      <w:pPr>
        <w:spacing w:before="40"/>
        <w:jc w:val="center"/>
      </w:pPr>
      <w:r>
        <w:rPr>
          <w:rFonts w:ascii="Arial" w:cs="Arial" w:eastAsia="Arial" w:hAnsi="Arial"/>
          <w:color w:val="444444"/>
          <w:sz w:val="22"/>
          <w:szCs w:val="22"/>
        </w:rPr>
        <w:t xml:space="preserve">数字漫步团队 | 2026年5月22日</w:t>
      </w:r>
    </w:p>
    <w:sectPr>
      <w:headerReference w:type="default" r:id="rId7"/>
      <w:footerReference w:type="default" r:id="rId8"/>
      <w:pgSz w:w="11906" w:h="16838" w:orient="portrait"/>
      <w:pgMar w:top="1440" w:right="1300" w:bottom="1440" w:left="13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B0BED0" w:sz="2" w:space="4"/>
      </w:pBdr>
      <w:jc w:val="center"/>
    </w:pPr>
    <w:r>
      <w:rPr>
        <w:rFonts w:ascii="Arial" w:cs="Arial" w:eastAsia="Arial" w:hAnsi="Arial"/>
        <w:color w:val="888888"/>
        <w:sz w:val="18"/>
        <w:szCs w:val="18"/>
      </w:rPr>
      <w:t xml:space="preserve">— </w:t>
    </w:r>
    <w:r>
      <w:rPr>
        <w:rFonts w:ascii="Arial" w:cs="Arial" w:eastAsia="Arial" w:hAnsi="Arial"/>
        <w:color w:val="888888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888888"/>
        <w:sz w:val="18"/>
        <w:szCs w:val="18"/>
      </w:rPr>
      <w:t xml:space="preserve"> —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2E75B6" w:sz="4" w:space="4"/>
      </w:pBdr>
      <w:jc w:val="right"/>
    </w:pPr>
    <w:r>
      <w:rPr>
        <w:rFonts w:ascii="Arial" w:cs="Arial" w:eastAsia="Arial" w:hAnsi="Arial"/>
        <w:i/>
        <w:iCs/>
        <w:color w:val="888888"/>
        <w:sz w:val="18"/>
        <w:szCs w:val="18"/>
      </w:rPr>
      <w:t xml:space="preserve">数字漫步 2026年3-4月股东汇报 | 从生态布局到生态变现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200" w:before="400"/>
      <w:outlineLvl w:val="0"/>
    </w:pPr>
    <w:rPr>
      <w:rFonts w:ascii="Arial" w:cs="Arial" w:eastAsia="Arial" w:hAnsi="Arial"/>
      <w:b/>
      <w:bCs/>
      <w:color w:val="1A3C6D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60" w:before="320"/>
      <w:outlineLvl w:val="1"/>
    </w:pPr>
    <w:rPr>
      <w:rFonts w:ascii="Arial" w:cs="Arial" w:eastAsia="Arial" w:hAnsi="Arial"/>
      <w:b/>
      <w:bCs/>
      <w:color w:val="2E75B6"/>
      <w:sz w:val="28"/>
      <w:szCs w:val="28"/>
    </w:rPr>
  </w:style>
  <w:style w:type="paragraph" w:styleId="Heading3">
    <w:name w:val="Heading 3"/>
    <w:basedOn w:val="Normal"/>
    <w:next w:val="Normal"/>
    <w:qFormat/>
    <w:pPr>
      <w:spacing w:after="120" w:before="240"/>
      <w:outlineLvl w:val="2"/>
    </w:pPr>
    <w:rPr>
      <w:rFonts w:ascii="Arial" w:cs="Arial" w:eastAsia="Arial" w:hAnsi="Arial"/>
      <w:b/>
      <w:bCs/>
      <w:color w:val="333333"/>
      <w:sz w:val="24"/>
      <w:szCs w:val="24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2026-05-22T02:40:16.376Z</dcterms:created>
  <dcterms:modified xsi:type="dcterms:W3CDTF">2026-05-22T02:40:16.376Z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