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6341C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2025年</w:t>
      </w:r>
      <w:r>
        <w:rPr>
          <w:rFonts w:hint="eastAsia" w:ascii="Arial" w:hAnsi="Arial" w:eastAsia="等线" w:cs="Arial"/>
          <w:b/>
          <w:sz w:val="52"/>
          <w:lang w:eastAsia="zh-CN"/>
        </w:rPr>
        <w:t>12月</w:t>
      </w:r>
      <w:bookmarkStart w:id="7" w:name="_GoBack"/>
      <w:bookmarkEnd w:id="7"/>
      <w:r>
        <w:rPr>
          <w:rFonts w:ascii="Arial" w:hAnsi="Arial" w:eastAsia="等线" w:cs="Arial"/>
          <w:b/>
          <w:sz w:val="52"/>
        </w:rPr>
        <w:t>数字漫步及关联公司财报分析</w:t>
      </w:r>
    </w:p>
    <w:p w14:paraId="193BC1B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核心结论：2025年公司实现营收20.15万元，核心业务毛利率35.97%，展现出较强的业务盈利能力；虽因前期运营投入导致净利润亏损11.79万元，但团队在项目交付、业务拓展和投资布局上取得显著进展，为后续盈利奠定坚实基础。</w:t>
      </w:r>
      <w:r>
        <w:rPr>
          <w:rFonts w:hint="eastAsia" w:ascii="Arial" w:hAnsi="Arial" w:eastAsia="等线" w:cs="Arial"/>
          <w:sz w:val="22"/>
          <w:lang w:eastAsia="zh-CN"/>
        </w:rPr>
        <w:t>截止2025年12月31号账面余额70万左右。</w:t>
      </w:r>
    </w:p>
    <w:p w14:paraId="238CC431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一、整体经营核心数据</w:t>
      </w:r>
      <w:bookmarkEnd w:id="0"/>
    </w:p>
    <w:p w14:paraId="0C3D77E5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营收规模：全年营收20.15万元，全部来自项目收入，业务模式清晰。</w:t>
      </w:r>
    </w:p>
    <w:p w14:paraId="4F9AF58D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业务盈利性：核心业务毛利率35.97%，意味着每赚100元收入，扣除直接成本后能留存35.97元用于覆盖运营费用，这个水平在服务类行业中属于合理区间。</w:t>
      </w:r>
    </w:p>
    <w:p w14:paraId="282BAEE8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亏损原因：全年净利润亏损11.79万元，主要是因为营业费用占比过高，其中职工薪酬、商务活动经费</w:t>
      </w:r>
      <w:r>
        <w:rPr>
          <w:rFonts w:hint="eastAsia" w:ascii="Arial" w:hAnsi="Arial" w:eastAsia="等线" w:cs="Arial"/>
          <w:sz w:val="22"/>
          <w:lang w:eastAsia="zh-CN"/>
        </w:rPr>
        <w:t>、对外投资</w:t>
      </w:r>
      <w:r>
        <w:rPr>
          <w:rFonts w:ascii="Arial" w:hAnsi="Arial" w:eastAsia="等线" w:cs="Arial"/>
          <w:sz w:val="22"/>
        </w:rPr>
        <w:t>是主要构成，属于公司前期业务拓展和团队建设的必要投入。</w:t>
      </w:r>
    </w:p>
    <w:p w14:paraId="7C5B318F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二、团队的核心成绩</w:t>
      </w:r>
      <w:bookmarkEnd w:id="1"/>
    </w:p>
    <w:p w14:paraId="7E05D8E7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1. 项目交付能力扎实，优质项目亮点突出</w:t>
      </w:r>
      <w:bookmarkEnd w:id="2"/>
    </w:p>
    <w:p w14:paraId="4879CE53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已完成6个项目，多个项目实现可观盈利：九米圳品出海项目开发V1利润率28.39%，九米门户系统开发项目利润率20.30%，视频广告交付类业务利润率稳定在20%，体现了团队的专业服务能力和项目管理水平。</w:t>
      </w:r>
    </w:p>
    <w:p w14:paraId="6F26EE22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持续储备优质订单：目前有10个项目正在推进，涵盖独立站建站、广告代投、电商运营等多个领域，已锁定部分营收，为2026年业务延续性提供保障。</w:t>
      </w:r>
    </w:p>
    <w:p w14:paraId="5915E8E6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2. 业务边界持续拓展，赛道布局多元化</w:t>
      </w:r>
      <w:bookmarkEnd w:id="3"/>
    </w:p>
    <w:p w14:paraId="4E940954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服务领域全覆盖：从电商店铺运营（依朗迪项目）、系统开发（赣州微信企业服务平台），到独立站建站（Reegodenim项目）、广告投放（Awada户外项目），团队已形成“多场景+全链条”的服务能力，能满足不同客户的数字化需求。</w:t>
      </w:r>
    </w:p>
    <w:p w14:paraId="292E3C12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客户类型多样化：合作客户包括电商品牌、建筑企业、科技公司等，降低了对单一客户的依赖，抗风险能力逐步提升。</w:t>
      </w:r>
    </w:p>
    <w:p w14:paraId="1D2C68FD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3. 投资布局初见成效，优质标的贡献收益</w:t>
      </w:r>
      <w:bookmarkEnd w:id="4"/>
    </w:p>
    <w:p w14:paraId="2BB58905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投资5家关联公司，其中2家实现盈利：数漫极光净利润7337.05元，摩华建科净利润1455.28元，这两家公司的盈利已体现出投资布局的价值。数漫极光同时推进两大核心动作，一是正联合福建、深圳、德国三地企业在香港筹备跨境服务公司</w:t>
      </w:r>
      <w:r>
        <w:rPr>
          <w:rFonts w:hint="eastAsia" w:ascii="Arial" w:hAnsi="Arial" w:eastAsia="等线" w:cs="Arial"/>
          <w:sz w:val="22"/>
          <w:lang w:eastAsia="zh-CN"/>
        </w:rPr>
        <w:t>（预计2026年2月完成）</w:t>
      </w:r>
      <w:r>
        <w:rPr>
          <w:rFonts w:ascii="Arial" w:hAnsi="Arial" w:eastAsia="等线" w:cs="Arial"/>
          <w:sz w:val="22"/>
        </w:rPr>
        <w:t>，定位全球领先一站式TikTok跨境服务商，整合达人营销、数字广告、直播运营及电商解决方案四大模块，为品牌提供全链路出海支撑；二是自主开发AI素材制作平台，计划年前推出试用版，强化技术服务能力。摩华建科业务落地成效显著，拿下马来西亚酒店120套物资订单（总价约192万元），首期12套订单已启动；海外卫浴订单同步突破，美国1100套、沙特4400套卫浴订单的打版样品均通过验收，年后将逐步推进批量交付。</w:t>
      </w:r>
    </w:p>
    <w:p w14:paraId="3DFC8A57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投资方向聚焦科技、建筑等赛道，与公司主营业务形成互补，为未来业务协同和收益增长埋下伏笔。其余3家培育期公司也均取得实质性进展：健途正稳步落地亚马逊店铺搭建及德国工厂合作事宜，夯实海外供应链与销售渠道；哈奇米同步推进独立站搭建与亚马逊店铺筹备，加速布局跨境电商；赣州数漫精准对接马来西亚建材官方采购团队，并开展阿里国际站客资对接，为建材类业务出海拓宽资源渠道。</w:t>
      </w:r>
    </w:p>
    <w:p w14:paraId="2037BB59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三、投资板块关键信息</w:t>
      </w:r>
      <w:bookmarkEnd w:id="5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3C1C85C6">
        <w:tblPrEx>
          <w:tblLayout w:type="fixed"/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0498E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投资标的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DDDDA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投资亮点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9DD40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2025年收益情况</w:t>
            </w:r>
          </w:p>
        </w:tc>
      </w:tr>
      <w:tr w14:paraId="293CF27E">
        <w:tblPrEx>
          <w:tblLayout w:type="fixed"/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5EADC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数漫极光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B847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专注数字化服务，营收2.97万元；筹备香港跨境服务公司（TikTok全链路出海服务），自主开发AI素材制作平台（年前出试用版）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29F5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盈利7337.05元（公司持股40%）</w:t>
            </w:r>
          </w:p>
        </w:tc>
      </w:tr>
      <w:tr w14:paraId="56E9C391">
        <w:tblPrEx>
          <w:tblLayout w:type="fixed"/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B573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摩华建科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6E6D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工程服务+运营服务双轮驱动，营收2.76万元；拿下马来西亚192万酒店物资订单（首期12套），美沙卫浴订单打版通过验收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2A680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盈利1455.28元（公司持股24%）</w:t>
            </w:r>
          </w:p>
        </w:tc>
      </w:tr>
      <w:tr w14:paraId="3B0FCA93">
        <w:tblPrEx>
          <w:tblLayout w:type="fixed"/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BD9E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其他3家公司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2119D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健途：落地亚马逊店铺、德国工厂合作；哈奇米：搭建独立站+筹备亚马逊店铺；赣州数漫：对接马来建材官方采购+阿里国际站客资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DCBA52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086025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注：全年投资合计收益-9594.05元（未计入公司利润），主要受个别培育期公司亏损影响，整体投资风险可控。</w:t>
      </w:r>
    </w:p>
    <w:p w14:paraId="26369B99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四、总结与展望</w:t>
      </w:r>
      <w:bookmarkEnd w:id="6"/>
    </w:p>
    <w:p w14:paraId="22CD12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2025年是公司“打基础、拓业务”的关键一年，团队用扎实的项目交付能力验证了业务可行性，用多元化的业务布局打开了增长空间，更通过精准的投资布局培育了多个潜力标的。各关联公司关键动作持续落地，从数漫极光的跨境服务与AI技术布局，到摩华建科的大额海外订单突破，再到健途、哈奇米、赣州数漫的出海渠道搭建与客资对接，均为公司未来协同盈利构建了坚实支撑。当前的净利润亏损是前期团队建设、市场拓展的阶段性投入，随着在执行项目收尾、营收规模扩大、运营费用优化，以及各投资标的业务落地变现，公司有望</w:t>
      </w:r>
      <w:r>
        <w:rPr>
          <w:rFonts w:hint="eastAsia" w:ascii="Arial" w:hAnsi="Arial" w:eastAsia="等线" w:cs="Arial"/>
          <w:sz w:val="22"/>
          <w:lang w:eastAsia="zh-CN"/>
        </w:rPr>
        <w:t>于2026年</w:t>
      </w:r>
      <w:r>
        <w:rPr>
          <w:rFonts w:ascii="Arial" w:hAnsi="Arial" w:eastAsia="等线" w:cs="Arial"/>
          <w:sz w:val="22"/>
        </w:rPr>
        <w:t>实现持续盈利</w:t>
      </w:r>
      <w:r>
        <w:rPr>
          <w:rFonts w:hint="eastAsia" w:ascii="Arial" w:hAnsi="Arial" w:eastAsia="等线" w:cs="Arial"/>
          <w:sz w:val="22"/>
          <w:lang w:eastAsia="zh-CN"/>
        </w:rPr>
        <w:t>能力</w:t>
      </w:r>
    </w:p>
    <w:p w14:paraId="22112014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Helvetica Neue"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9E6AE">
    <w:pP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60BCE">
    <w:pP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FF06EA"/>
    <w:multiLevelType w:val="singleLevel"/>
    <w:tmpl w:val="9FFF06E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D73FA76A"/>
    <w:multiLevelType w:val="singleLevel"/>
    <w:tmpl w:val="D73FA76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E9FD49C3"/>
    <w:multiLevelType w:val="singleLevel"/>
    <w:tmpl w:val="E9FD49C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E9FF00AE"/>
    <w:multiLevelType w:val="singleLevel"/>
    <w:tmpl w:val="E9FF00A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ED7647B0"/>
    <w:multiLevelType w:val="singleLevel"/>
    <w:tmpl w:val="ED7647B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FBCA4B7F"/>
    <w:multiLevelType w:val="singleLevel"/>
    <w:tmpl w:val="FBCA4B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FEB658BE"/>
    <w:multiLevelType w:val="singleLevel"/>
    <w:tmpl w:val="FEB658B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7DAA8217"/>
    <w:multiLevelType w:val="singleLevel"/>
    <w:tmpl w:val="7DAA821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7E976411"/>
    <w:multiLevelType w:val="singleLevel"/>
    <w:tmpl w:val="7E976411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2026-01-28T06:23:00Z</dcterms:created>
  <dc:creator>Apache POI</dc:creator>
  <cp:lastModifiedBy>iPhone</cp:lastModifiedBy>
  <dcterms:modified xsi:type="dcterms:W3CDTF">2026-01-31T13:49:53Z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2052-12.40.0</vt:lpwstr>
  </property>
  <property fmtid="{D5CDD505-2E9C-101B-9397-08002B2CF9AE}" pid="3" name="ICV">
    <vt:lpwstr>5BE63396B8FE45DAD1CA7869C1648C29_42</vt:lpwstr>
  </property>
</Properties>
</file>